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270"/>
        <w:rPr>
          <w:rFonts w:ascii="Times New Roman"/>
          <w:sz w:val="20"/>
        </w:rPr>
      </w:pPr>
      <w:r>
        <w:rPr>
          <w:rFonts w:ascii="Times New Roman"/>
          <w:sz w:val="20"/>
        </w:rPr>
        <w:drawing>
          <wp:inline distT="0" distB="0" distL="0" distR="0">
            <wp:extent cx="1975807" cy="347472"/>
            <wp:effectExtent l="0" t="0" r="0" b="0"/>
            <wp:docPr id="1" name="image1.png"/>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1975807" cy="347472"/>
                    </a:xfrm>
                    <a:prstGeom prst="rect">
                      <a:avLst/>
                    </a:prstGeom>
                  </pic:spPr>
                </pic:pic>
              </a:graphicData>
            </a:graphic>
          </wp:inline>
        </w:drawing>
      </w:r>
      <w:r>
        <w:rPr>
          <w:rFonts w:ascii="Times New Roman"/>
          <w:sz w:val="20"/>
        </w:rPr>
      </w:r>
    </w:p>
    <w:p>
      <w:pPr>
        <w:pStyle w:val="BodyText"/>
        <w:spacing w:before="7"/>
        <w:rPr>
          <w:rFonts w:ascii="Times New Roman"/>
          <w:sz w:val="16"/>
        </w:rPr>
      </w:pPr>
    </w:p>
    <w:p>
      <w:pPr>
        <w:spacing w:line="237" w:lineRule="auto" w:before="94"/>
        <w:ind w:left="6763" w:right="1496" w:firstLine="1188"/>
        <w:jc w:val="both"/>
        <w:rPr>
          <w:rFonts w:ascii="Times New Roman"/>
          <w:sz w:val="18"/>
        </w:rPr>
      </w:pPr>
      <w:bookmarkStart w:name="2021-06-24 Rezoning Application Package" w:id="1"/>
      <w:bookmarkEnd w:id="1"/>
      <w:r>
        <w:rPr/>
      </w:r>
      <w:bookmarkStart w:name="2021-06-24 Ltr to M Barszewski" w:id="2"/>
      <w:bookmarkEnd w:id="2"/>
      <w:r>
        <w:rPr/>
      </w:r>
      <w:r>
        <w:rPr>
          <w:rFonts w:ascii="Times New Roman"/>
          <w:sz w:val="18"/>
        </w:rPr>
        <w:t>Our File Number: 50673-00001 Writer's Direct Dial Number: (954) 468-1391 Writer's E-Mail Address: </w:t>
      </w:r>
      <w:hyperlink r:id="rId6">
        <w:r>
          <w:rPr>
            <w:rFonts w:ascii="Times New Roman"/>
            <w:sz w:val="18"/>
          </w:rPr>
          <w:t>hdavis@gunster.com</w:t>
        </w:r>
      </w:hyperlink>
    </w:p>
    <w:p>
      <w:pPr>
        <w:pStyle w:val="BodyText"/>
        <w:rPr>
          <w:rFonts w:ascii="Times New Roman"/>
          <w:sz w:val="20"/>
        </w:rPr>
      </w:pPr>
    </w:p>
    <w:p>
      <w:pPr>
        <w:pStyle w:val="BodyText"/>
        <w:spacing w:before="11"/>
        <w:rPr>
          <w:rFonts w:ascii="Times New Roman"/>
          <w:sz w:val="23"/>
        </w:rPr>
      </w:pPr>
    </w:p>
    <w:p>
      <w:pPr>
        <w:spacing w:before="91"/>
        <w:ind w:left="319" w:right="1637" w:firstLine="0"/>
        <w:jc w:val="center"/>
        <w:rPr>
          <w:rFonts w:ascii="Times New Roman"/>
          <w:sz w:val="23"/>
        </w:rPr>
      </w:pPr>
      <w:r>
        <w:rPr>
          <w:rFonts w:ascii="Times New Roman"/>
          <w:w w:val="105"/>
          <w:sz w:val="23"/>
        </w:rPr>
        <w:t>June 24, 2021</w:t>
      </w:r>
    </w:p>
    <w:p>
      <w:pPr>
        <w:pStyle w:val="BodyText"/>
        <w:spacing w:before="6"/>
        <w:rPr>
          <w:rFonts w:ascii="Times New Roman"/>
          <w:sz w:val="17"/>
        </w:rPr>
      </w:pPr>
    </w:p>
    <w:p>
      <w:pPr>
        <w:spacing w:before="91"/>
        <w:ind w:left="975" w:right="0" w:firstLine="0"/>
        <w:jc w:val="left"/>
        <w:rPr>
          <w:rFonts w:ascii="Times New Roman"/>
          <w:sz w:val="23"/>
        </w:rPr>
      </w:pPr>
      <w:r>
        <w:rPr>
          <w:rFonts w:ascii="Times New Roman"/>
          <w:w w:val="105"/>
          <w:sz w:val="23"/>
        </w:rPr>
        <w:t>VIA ELECTRONIC MAIL</w:t>
      </w:r>
    </w:p>
    <w:p>
      <w:pPr>
        <w:spacing w:before="14"/>
        <w:ind w:left="973" w:right="0" w:firstLine="0"/>
        <w:jc w:val="left"/>
        <w:rPr>
          <w:rFonts w:ascii="Times New Roman"/>
          <w:sz w:val="23"/>
        </w:rPr>
      </w:pPr>
      <w:hyperlink r:id="rId7">
        <w:r>
          <w:rPr>
            <w:rFonts w:ascii="Times New Roman"/>
            <w:w w:val="105"/>
            <w:sz w:val="23"/>
            <w:u w:val="thick"/>
          </w:rPr>
          <w:t>Maggie.Barszewski@copbfl.com</w:t>
        </w:r>
      </w:hyperlink>
    </w:p>
    <w:p>
      <w:pPr>
        <w:pStyle w:val="BodyText"/>
        <w:spacing w:before="8"/>
        <w:rPr>
          <w:rFonts w:ascii="Times New Roman"/>
        </w:rPr>
      </w:pPr>
    </w:p>
    <w:p>
      <w:pPr>
        <w:spacing w:line="249" w:lineRule="auto" w:before="0"/>
        <w:ind w:left="973" w:right="7338" w:firstLine="5"/>
        <w:jc w:val="left"/>
        <w:rPr>
          <w:rFonts w:ascii="Times New Roman"/>
          <w:sz w:val="23"/>
        </w:rPr>
      </w:pPr>
      <w:r>
        <w:rPr>
          <w:rFonts w:ascii="Times New Roman"/>
          <w:w w:val="105"/>
          <w:sz w:val="23"/>
        </w:rPr>
        <w:t>Ms. Maggie Barszewski, AICP Planner</w:t>
      </w:r>
    </w:p>
    <w:p>
      <w:pPr>
        <w:spacing w:line="249" w:lineRule="auto" w:before="2"/>
        <w:ind w:left="973" w:right="8124" w:firstLine="4"/>
        <w:jc w:val="left"/>
        <w:rPr>
          <w:rFonts w:ascii="Times New Roman"/>
          <w:sz w:val="23"/>
        </w:rPr>
      </w:pPr>
      <w:r>
        <w:rPr>
          <w:rFonts w:ascii="Times New Roman"/>
          <w:w w:val="105"/>
          <w:sz w:val="23"/>
        </w:rPr>
        <w:t>City of Pompano Beach 100 West Atlantic Blvd. Pompano Beach, FL 33060</w:t>
      </w:r>
    </w:p>
    <w:p>
      <w:pPr>
        <w:pStyle w:val="BodyText"/>
        <w:spacing w:before="4"/>
        <w:rPr>
          <w:rFonts w:ascii="Times New Roman"/>
        </w:rPr>
      </w:pPr>
    </w:p>
    <w:p>
      <w:pPr>
        <w:tabs>
          <w:tab w:pos="2410" w:val="left" w:leader="none"/>
        </w:tabs>
        <w:spacing w:line="249" w:lineRule="auto" w:before="1"/>
        <w:ind w:left="2409" w:right="1926" w:hanging="720"/>
        <w:jc w:val="left"/>
        <w:rPr>
          <w:rFonts w:ascii="Times New Roman"/>
          <w:b/>
          <w:sz w:val="23"/>
        </w:rPr>
      </w:pPr>
      <w:r>
        <w:rPr>
          <w:rFonts w:ascii="Times New Roman"/>
          <w:b/>
          <w:w w:val="105"/>
          <w:sz w:val="23"/>
        </w:rPr>
        <w:t>Re:</w:t>
        <w:tab/>
        <w:tab/>
        <w:t>Request</w:t>
      </w:r>
      <w:r>
        <w:rPr>
          <w:rFonts w:ascii="Times New Roman"/>
          <w:b/>
          <w:spacing w:val="-13"/>
          <w:w w:val="105"/>
          <w:sz w:val="23"/>
        </w:rPr>
        <w:t> </w:t>
      </w:r>
      <w:r>
        <w:rPr>
          <w:rFonts w:ascii="Times New Roman"/>
          <w:b/>
          <w:w w:val="105"/>
          <w:sz w:val="23"/>
        </w:rPr>
        <w:t>for</w:t>
      </w:r>
      <w:r>
        <w:rPr>
          <w:rFonts w:ascii="Times New Roman"/>
          <w:b/>
          <w:spacing w:val="-16"/>
          <w:w w:val="105"/>
          <w:sz w:val="23"/>
        </w:rPr>
        <w:t> </w:t>
      </w:r>
      <w:r>
        <w:rPr>
          <w:rFonts w:ascii="Times New Roman"/>
          <w:b/>
          <w:w w:val="105"/>
          <w:sz w:val="23"/>
        </w:rPr>
        <w:t>Rezoning</w:t>
      </w:r>
      <w:r>
        <w:rPr>
          <w:rFonts w:ascii="Times New Roman"/>
          <w:b/>
          <w:spacing w:val="-20"/>
          <w:w w:val="105"/>
          <w:sz w:val="23"/>
        </w:rPr>
        <w:t> </w:t>
      </w:r>
      <w:r>
        <w:rPr>
          <w:rFonts w:ascii="Times New Roman"/>
          <w:w w:val="105"/>
          <w:sz w:val="23"/>
        </w:rPr>
        <w:t>-</w:t>
      </w:r>
      <w:r>
        <w:rPr>
          <w:rFonts w:ascii="Times New Roman"/>
          <w:spacing w:val="27"/>
          <w:w w:val="105"/>
          <w:sz w:val="23"/>
        </w:rPr>
        <w:t> </w:t>
      </w:r>
      <w:r>
        <w:rPr>
          <w:rFonts w:ascii="Times New Roman"/>
          <w:b/>
          <w:w w:val="105"/>
          <w:sz w:val="23"/>
        </w:rPr>
        <w:t>KZ</w:t>
      </w:r>
      <w:r>
        <w:rPr>
          <w:rFonts w:ascii="Times New Roman"/>
          <w:b/>
          <w:spacing w:val="-9"/>
          <w:w w:val="105"/>
          <w:sz w:val="23"/>
        </w:rPr>
        <w:t> </w:t>
      </w:r>
      <w:r>
        <w:rPr>
          <w:rFonts w:ascii="Times New Roman"/>
          <w:b/>
          <w:w w:val="105"/>
          <w:sz w:val="23"/>
        </w:rPr>
        <w:t>Copans</w:t>
      </w:r>
      <w:r>
        <w:rPr>
          <w:rFonts w:ascii="Times New Roman"/>
          <w:b/>
          <w:spacing w:val="-9"/>
          <w:w w:val="105"/>
          <w:sz w:val="23"/>
        </w:rPr>
        <w:t> </w:t>
      </w:r>
      <w:r>
        <w:rPr>
          <w:rFonts w:ascii="Times New Roman"/>
          <w:b/>
          <w:w w:val="105"/>
          <w:sz w:val="23"/>
        </w:rPr>
        <w:t>LLC,</w:t>
      </w:r>
      <w:r>
        <w:rPr>
          <w:rFonts w:ascii="Times New Roman"/>
          <w:b/>
          <w:spacing w:val="-14"/>
          <w:w w:val="105"/>
          <w:sz w:val="23"/>
        </w:rPr>
        <w:t> </w:t>
      </w:r>
      <w:r>
        <w:rPr>
          <w:rFonts w:ascii="Times New Roman"/>
          <w:b/>
          <w:w w:val="105"/>
          <w:sz w:val="23"/>
        </w:rPr>
        <w:t>Portion</w:t>
      </w:r>
      <w:r>
        <w:rPr>
          <w:rFonts w:ascii="Times New Roman"/>
          <w:b/>
          <w:spacing w:val="-2"/>
          <w:w w:val="105"/>
          <w:sz w:val="23"/>
        </w:rPr>
        <w:t> </w:t>
      </w:r>
      <w:r>
        <w:rPr>
          <w:rFonts w:ascii="Times New Roman"/>
          <w:b/>
          <w:w w:val="105"/>
          <w:sz w:val="23"/>
        </w:rPr>
        <w:t>of</w:t>
      </w:r>
      <w:r>
        <w:rPr>
          <w:rFonts w:ascii="Times New Roman"/>
          <w:b/>
          <w:spacing w:val="-17"/>
          <w:w w:val="105"/>
          <w:sz w:val="23"/>
        </w:rPr>
        <w:t> </w:t>
      </w:r>
      <w:r>
        <w:rPr>
          <w:rFonts w:ascii="Times New Roman"/>
          <w:b/>
          <w:w w:val="105"/>
          <w:sz w:val="23"/>
        </w:rPr>
        <w:t>Property</w:t>
      </w:r>
      <w:r>
        <w:rPr>
          <w:rFonts w:ascii="Times New Roman"/>
          <w:b/>
          <w:spacing w:val="-8"/>
          <w:w w:val="105"/>
          <w:sz w:val="23"/>
        </w:rPr>
        <w:t> </w:t>
      </w:r>
      <w:r>
        <w:rPr>
          <w:rFonts w:ascii="Times New Roman"/>
          <w:b/>
          <w:w w:val="105"/>
          <w:sz w:val="23"/>
        </w:rPr>
        <w:t>Located</w:t>
      </w:r>
      <w:r>
        <w:rPr>
          <w:rFonts w:ascii="Times New Roman"/>
          <w:b/>
          <w:spacing w:val="-2"/>
          <w:w w:val="105"/>
          <w:sz w:val="23"/>
        </w:rPr>
        <w:t> </w:t>
      </w:r>
      <w:r>
        <w:rPr>
          <w:rFonts w:ascii="Times New Roman"/>
          <w:b/>
          <w:w w:val="105"/>
          <w:sz w:val="23"/>
        </w:rPr>
        <w:t>at 1900 W. Copans Road, Pompano Beach,</w:t>
      </w:r>
      <w:r>
        <w:rPr>
          <w:rFonts w:ascii="Times New Roman"/>
          <w:b/>
          <w:spacing w:val="6"/>
          <w:w w:val="105"/>
          <w:sz w:val="23"/>
        </w:rPr>
        <w:t> </w:t>
      </w:r>
      <w:r>
        <w:rPr>
          <w:rFonts w:ascii="Times New Roman"/>
          <w:b/>
          <w:w w:val="105"/>
          <w:sz w:val="23"/>
        </w:rPr>
        <w:t>Florida</w:t>
      </w:r>
    </w:p>
    <w:p>
      <w:pPr>
        <w:pStyle w:val="BodyText"/>
        <w:spacing w:before="5"/>
        <w:rPr>
          <w:rFonts w:ascii="Times New Roman"/>
          <w:b/>
        </w:rPr>
      </w:pPr>
    </w:p>
    <w:p>
      <w:pPr>
        <w:spacing w:before="0"/>
        <w:ind w:left="973" w:right="0" w:firstLine="0"/>
        <w:jc w:val="left"/>
        <w:rPr>
          <w:rFonts w:ascii="Times New Roman"/>
          <w:sz w:val="23"/>
        </w:rPr>
      </w:pPr>
      <w:r>
        <w:rPr>
          <w:rFonts w:ascii="Times New Roman"/>
          <w:w w:val="105"/>
          <w:sz w:val="23"/>
        </w:rPr>
        <w:t>Dear Ms. Barszewski,</w:t>
      </w:r>
    </w:p>
    <w:p>
      <w:pPr>
        <w:pStyle w:val="BodyText"/>
        <w:rPr>
          <w:rFonts w:ascii="Times New Roman"/>
          <w:sz w:val="25"/>
        </w:rPr>
      </w:pPr>
    </w:p>
    <w:p>
      <w:pPr>
        <w:spacing w:line="249" w:lineRule="auto" w:before="1"/>
        <w:ind w:left="967" w:right="1482" w:firstLine="718"/>
        <w:jc w:val="both"/>
        <w:rPr>
          <w:rFonts w:ascii="Times New Roman"/>
          <w:sz w:val="23"/>
        </w:rPr>
      </w:pPr>
      <w:r>
        <w:rPr>
          <w:rFonts w:ascii="Times New Roman"/>
          <w:w w:val="105"/>
          <w:sz w:val="23"/>
        </w:rPr>
        <w:t>Please</w:t>
      </w:r>
      <w:r>
        <w:rPr>
          <w:rFonts w:ascii="Times New Roman"/>
          <w:spacing w:val="-9"/>
          <w:w w:val="105"/>
          <w:sz w:val="23"/>
        </w:rPr>
        <w:t> </w:t>
      </w:r>
      <w:r>
        <w:rPr>
          <w:rFonts w:ascii="Times New Roman"/>
          <w:w w:val="105"/>
          <w:sz w:val="23"/>
        </w:rPr>
        <w:t>accept</w:t>
      </w:r>
      <w:r>
        <w:rPr>
          <w:rFonts w:ascii="Times New Roman"/>
          <w:spacing w:val="-14"/>
          <w:w w:val="105"/>
          <w:sz w:val="23"/>
        </w:rPr>
        <w:t> </w:t>
      </w:r>
      <w:r>
        <w:rPr>
          <w:rFonts w:ascii="Times New Roman"/>
          <w:w w:val="105"/>
          <w:sz w:val="23"/>
        </w:rPr>
        <w:t>this</w:t>
      </w:r>
      <w:r>
        <w:rPr>
          <w:rFonts w:ascii="Times New Roman"/>
          <w:spacing w:val="-16"/>
          <w:w w:val="105"/>
          <w:sz w:val="23"/>
        </w:rPr>
        <w:t> </w:t>
      </w:r>
      <w:r>
        <w:rPr>
          <w:rFonts w:ascii="Times New Roman"/>
          <w:w w:val="105"/>
          <w:sz w:val="23"/>
        </w:rPr>
        <w:t>letter</w:t>
      </w:r>
      <w:r>
        <w:rPr>
          <w:rFonts w:ascii="Times New Roman"/>
          <w:spacing w:val="-13"/>
          <w:w w:val="105"/>
          <w:sz w:val="23"/>
        </w:rPr>
        <w:t> </w:t>
      </w:r>
      <w:r>
        <w:rPr>
          <w:rFonts w:ascii="Times New Roman"/>
          <w:w w:val="105"/>
          <w:sz w:val="23"/>
        </w:rPr>
        <w:t>in</w:t>
      </w:r>
      <w:r>
        <w:rPr>
          <w:rFonts w:ascii="Times New Roman"/>
          <w:spacing w:val="-13"/>
          <w:w w:val="105"/>
          <w:sz w:val="23"/>
        </w:rPr>
        <w:t> </w:t>
      </w:r>
      <w:r>
        <w:rPr>
          <w:rFonts w:ascii="Times New Roman"/>
          <w:w w:val="105"/>
          <w:sz w:val="23"/>
        </w:rPr>
        <w:t>conjunction</w:t>
      </w:r>
      <w:r>
        <w:rPr>
          <w:rFonts w:ascii="Times New Roman"/>
          <w:spacing w:val="-5"/>
          <w:w w:val="105"/>
          <w:sz w:val="23"/>
        </w:rPr>
        <w:t> </w:t>
      </w:r>
      <w:r>
        <w:rPr>
          <w:rFonts w:ascii="Times New Roman"/>
          <w:w w:val="105"/>
          <w:sz w:val="23"/>
        </w:rPr>
        <w:t>with</w:t>
      </w:r>
      <w:r>
        <w:rPr>
          <w:rFonts w:ascii="Times New Roman"/>
          <w:spacing w:val="-16"/>
          <w:w w:val="105"/>
          <w:sz w:val="23"/>
        </w:rPr>
        <w:t> </w:t>
      </w:r>
      <w:r>
        <w:rPr>
          <w:rFonts w:ascii="Times New Roman"/>
          <w:w w:val="105"/>
          <w:sz w:val="23"/>
        </w:rPr>
        <w:t>the</w:t>
      </w:r>
      <w:r>
        <w:rPr>
          <w:rFonts w:ascii="Times New Roman"/>
          <w:spacing w:val="-13"/>
          <w:w w:val="105"/>
          <w:sz w:val="23"/>
        </w:rPr>
        <w:t> </w:t>
      </w:r>
      <w:r>
        <w:rPr>
          <w:rFonts w:ascii="Times New Roman"/>
          <w:w w:val="105"/>
          <w:sz w:val="23"/>
        </w:rPr>
        <w:t>attached</w:t>
      </w:r>
      <w:r>
        <w:rPr>
          <w:rFonts w:ascii="Times New Roman"/>
          <w:spacing w:val="-8"/>
          <w:w w:val="105"/>
          <w:sz w:val="23"/>
        </w:rPr>
        <w:t> </w:t>
      </w:r>
      <w:r>
        <w:rPr>
          <w:rFonts w:ascii="Times New Roman"/>
          <w:w w:val="105"/>
          <w:sz w:val="23"/>
        </w:rPr>
        <w:t>application</w:t>
      </w:r>
      <w:r>
        <w:rPr>
          <w:rFonts w:ascii="Times New Roman"/>
          <w:spacing w:val="-9"/>
          <w:w w:val="105"/>
          <w:sz w:val="23"/>
        </w:rPr>
        <w:t> </w:t>
      </w:r>
      <w:r>
        <w:rPr>
          <w:rFonts w:ascii="Times New Roman"/>
          <w:w w:val="105"/>
          <w:sz w:val="23"/>
        </w:rPr>
        <w:t>for</w:t>
      </w:r>
      <w:r>
        <w:rPr>
          <w:rFonts w:ascii="Times New Roman"/>
          <w:spacing w:val="-15"/>
          <w:w w:val="105"/>
          <w:sz w:val="23"/>
        </w:rPr>
        <w:t> </w:t>
      </w:r>
      <w:r>
        <w:rPr>
          <w:rFonts w:ascii="Times New Roman"/>
          <w:w w:val="105"/>
          <w:sz w:val="23"/>
        </w:rPr>
        <w:t>KZ</w:t>
      </w:r>
      <w:r>
        <w:rPr>
          <w:rFonts w:ascii="Times New Roman"/>
          <w:spacing w:val="-17"/>
          <w:w w:val="105"/>
          <w:sz w:val="23"/>
        </w:rPr>
        <w:t> </w:t>
      </w:r>
      <w:r>
        <w:rPr>
          <w:rFonts w:ascii="Times New Roman"/>
          <w:w w:val="105"/>
          <w:sz w:val="23"/>
        </w:rPr>
        <w:t>Copans</w:t>
      </w:r>
      <w:r>
        <w:rPr>
          <w:rFonts w:ascii="Times New Roman"/>
          <w:spacing w:val="-11"/>
          <w:w w:val="105"/>
          <w:sz w:val="23"/>
        </w:rPr>
        <w:t> </w:t>
      </w:r>
      <w:r>
        <w:rPr>
          <w:rFonts w:ascii="Times New Roman"/>
          <w:w w:val="105"/>
          <w:sz w:val="23"/>
        </w:rPr>
        <w:t>LLC</w:t>
      </w:r>
      <w:r>
        <w:rPr>
          <w:rFonts w:ascii="Times New Roman"/>
          <w:spacing w:val="-13"/>
          <w:w w:val="105"/>
          <w:sz w:val="23"/>
        </w:rPr>
        <w:t> </w:t>
      </w:r>
      <w:r>
        <w:rPr>
          <w:rFonts w:ascii="Times New Roman"/>
          <w:w w:val="105"/>
          <w:sz w:val="23"/>
        </w:rPr>
        <w:t>( "the Applicant"), to rezone a 4.4949-acre site located at 1900 W. Copans Road in the city of Pompano Beach (the "Property") from Public Utility (PU) zoning to General Industrial (I-1) zoning.</w:t>
      </w:r>
      <w:r>
        <w:rPr>
          <w:rFonts w:ascii="Times New Roman"/>
          <w:spacing w:val="-4"/>
          <w:w w:val="105"/>
          <w:sz w:val="23"/>
        </w:rPr>
        <w:t> </w:t>
      </w:r>
      <w:r>
        <w:rPr>
          <w:rFonts w:ascii="Times New Roman"/>
          <w:w w:val="105"/>
          <w:sz w:val="23"/>
        </w:rPr>
        <w:t>The</w:t>
      </w:r>
      <w:r>
        <w:rPr>
          <w:rFonts w:ascii="Times New Roman"/>
          <w:spacing w:val="-14"/>
          <w:w w:val="105"/>
          <w:sz w:val="23"/>
        </w:rPr>
        <w:t> </w:t>
      </w:r>
      <w:r>
        <w:rPr>
          <w:rFonts w:ascii="Times New Roman"/>
          <w:w w:val="105"/>
          <w:sz w:val="23"/>
        </w:rPr>
        <w:t>Property</w:t>
      </w:r>
      <w:r>
        <w:rPr>
          <w:rFonts w:ascii="Times New Roman"/>
          <w:spacing w:val="-7"/>
          <w:w w:val="105"/>
          <w:sz w:val="23"/>
        </w:rPr>
        <w:t> </w:t>
      </w:r>
      <w:r>
        <w:rPr>
          <w:rFonts w:ascii="Times New Roman"/>
          <w:w w:val="105"/>
          <w:sz w:val="23"/>
        </w:rPr>
        <w:t>is</w:t>
      </w:r>
      <w:r>
        <w:rPr>
          <w:rFonts w:ascii="Times New Roman"/>
          <w:spacing w:val="-15"/>
          <w:w w:val="105"/>
          <w:sz w:val="23"/>
        </w:rPr>
        <w:t> </w:t>
      </w:r>
      <w:r>
        <w:rPr>
          <w:rFonts w:ascii="Times New Roman"/>
          <w:w w:val="105"/>
          <w:sz w:val="23"/>
        </w:rPr>
        <w:t>located</w:t>
      </w:r>
      <w:r>
        <w:rPr>
          <w:rFonts w:ascii="Times New Roman"/>
          <w:spacing w:val="-1"/>
          <w:w w:val="105"/>
          <w:sz w:val="23"/>
        </w:rPr>
        <w:t> </w:t>
      </w:r>
      <w:r>
        <w:rPr>
          <w:rFonts w:ascii="Times New Roman"/>
          <w:w w:val="105"/>
          <w:sz w:val="23"/>
        </w:rPr>
        <w:t>West</w:t>
      </w:r>
      <w:r>
        <w:rPr>
          <w:rFonts w:ascii="Times New Roman"/>
          <w:spacing w:val="-9"/>
          <w:w w:val="105"/>
          <w:sz w:val="23"/>
        </w:rPr>
        <w:t> </w:t>
      </w:r>
      <w:r>
        <w:rPr>
          <w:rFonts w:ascii="Times New Roman"/>
          <w:w w:val="105"/>
          <w:sz w:val="23"/>
        </w:rPr>
        <w:t>of</w:t>
      </w:r>
      <w:r>
        <w:rPr>
          <w:rFonts w:ascii="Times New Roman"/>
          <w:spacing w:val="-12"/>
          <w:w w:val="105"/>
          <w:sz w:val="23"/>
        </w:rPr>
        <w:t> </w:t>
      </w:r>
      <w:r>
        <w:rPr>
          <w:rFonts w:ascii="Times New Roman"/>
          <w:w w:val="105"/>
          <w:sz w:val="23"/>
        </w:rPr>
        <w:t>Interstate</w:t>
      </w:r>
      <w:r>
        <w:rPr>
          <w:rFonts w:ascii="Times New Roman"/>
          <w:spacing w:val="-5"/>
          <w:w w:val="105"/>
          <w:sz w:val="23"/>
        </w:rPr>
        <w:t> </w:t>
      </w:r>
      <w:r>
        <w:rPr>
          <w:rFonts w:ascii="Times New Roman"/>
          <w:w w:val="105"/>
          <w:sz w:val="23"/>
        </w:rPr>
        <w:t>95,</w:t>
      </w:r>
      <w:r>
        <w:rPr>
          <w:rFonts w:ascii="Times New Roman"/>
          <w:spacing w:val="-17"/>
          <w:w w:val="105"/>
          <w:sz w:val="23"/>
        </w:rPr>
        <w:t> </w:t>
      </w:r>
      <w:r>
        <w:rPr>
          <w:rFonts w:ascii="Times New Roman"/>
          <w:w w:val="105"/>
          <w:sz w:val="23"/>
        </w:rPr>
        <w:t>immediately</w:t>
      </w:r>
      <w:r>
        <w:rPr>
          <w:rFonts w:ascii="Times New Roman"/>
          <w:spacing w:val="3"/>
          <w:w w:val="105"/>
          <w:sz w:val="23"/>
        </w:rPr>
        <w:t> </w:t>
      </w:r>
      <w:r>
        <w:rPr>
          <w:rFonts w:ascii="Times New Roman"/>
          <w:w w:val="105"/>
          <w:sz w:val="23"/>
        </w:rPr>
        <w:t>South</w:t>
      </w:r>
      <w:r>
        <w:rPr>
          <w:rFonts w:ascii="Times New Roman"/>
          <w:spacing w:val="-11"/>
          <w:w w:val="105"/>
          <w:sz w:val="23"/>
        </w:rPr>
        <w:t> </w:t>
      </w:r>
      <w:r>
        <w:rPr>
          <w:rFonts w:ascii="Times New Roman"/>
          <w:w w:val="105"/>
          <w:sz w:val="23"/>
        </w:rPr>
        <w:t>of</w:t>
      </w:r>
      <w:r>
        <w:rPr>
          <w:rFonts w:ascii="Times New Roman"/>
          <w:spacing w:val="-15"/>
          <w:w w:val="105"/>
          <w:sz w:val="23"/>
        </w:rPr>
        <w:t> </w:t>
      </w:r>
      <w:r>
        <w:rPr>
          <w:rFonts w:ascii="Times New Roman"/>
          <w:w w:val="105"/>
          <w:sz w:val="23"/>
        </w:rPr>
        <w:t>and</w:t>
      </w:r>
      <w:r>
        <w:rPr>
          <w:rFonts w:ascii="Times New Roman"/>
          <w:spacing w:val="-11"/>
          <w:w w:val="105"/>
          <w:sz w:val="23"/>
        </w:rPr>
        <w:t> </w:t>
      </w:r>
      <w:r>
        <w:rPr>
          <w:rFonts w:ascii="Times New Roman"/>
          <w:w w:val="105"/>
          <w:sz w:val="23"/>
        </w:rPr>
        <w:t>adjacent</w:t>
      </w:r>
      <w:r>
        <w:rPr>
          <w:rFonts w:ascii="Times New Roman"/>
          <w:spacing w:val="-5"/>
          <w:w w:val="105"/>
          <w:sz w:val="23"/>
        </w:rPr>
        <w:t> </w:t>
      </w:r>
      <w:r>
        <w:rPr>
          <w:rFonts w:ascii="Times New Roman"/>
          <w:w w:val="105"/>
          <w:sz w:val="23"/>
        </w:rPr>
        <w:t>to</w:t>
      </w:r>
      <w:r>
        <w:rPr>
          <w:rFonts w:ascii="Times New Roman"/>
          <w:spacing w:val="-10"/>
          <w:w w:val="105"/>
          <w:sz w:val="23"/>
        </w:rPr>
        <w:t> </w:t>
      </w:r>
      <w:r>
        <w:rPr>
          <w:rFonts w:ascii="Times New Roman"/>
          <w:w w:val="105"/>
          <w:sz w:val="23"/>
        </w:rPr>
        <w:t>West Copans Road, North of NE 22 Court and East of Powerline</w:t>
      </w:r>
      <w:r>
        <w:rPr>
          <w:rFonts w:ascii="Times New Roman"/>
          <w:spacing w:val="-23"/>
          <w:w w:val="105"/>
          <w:sz w:val="23"/>
        </w:rPr>
        <w:t> </w:t>
      </w:r>
      <w:r>
        <w:rPr>
          <w:rFonts w:ascii="Times New Roman"/>
          <w:w w:val="105"/>
          <w:sz w:val="23"/>
        </w:rPr>
        <w:t>Road.</w:t>
      </w:r>
    </w:p>
    <w:p>
      <w:pPr>
        <w:pStyle w:val="BodyText"/>
        <w:spacing w:before="1"/>
        <w:rPr>
          <w:rFonts w:ascii="Times New Roman"/>
        </w:rPr>
      </w:pPr>
    </w:p>
    <w:p>
      <w:pPr>
        <w:spacing w:line="249" w:lineRule="auto" w:before="1"/>
        <w:ind w:left="970" w:right="1476" w:firstLine="716"/>
        <w:jc w:val="both"/>
        <w:rPr>
          <w:rFonts w:ascii="Times New Roman"/>
          <w:sz w:val="23"/>
        </w:rPr>
      </w:pPr>
      <w:r>
        <w:rPr>
          <w:rFonts w:ascii="Times New Roman"/>
          <w:w w:val="105"/>
          <w:sz w:val="23"/>
        </w:rPr>
        <w:t>The Property is currently vacant land that is contained within the boundaries of the Westview Community Cemetery. The eastern most portion of the Property that is the subject of this</w:t>
      </w:r>
      <w:r>
        <w:rPr>
          <w:rFonts w:ascii="Times New Roman"/>
          <w:spacing w:val="-9"/>
          <w:w w:val="105"/>
          <w:sz w:val="23"/>
        </w:rPr>
        <w:t> </w:t>
      </w:r>
      <w:r>
        <w:rPr>
          <w:rFonts w:ascii="Times New Roman"/>
          <w:w w:val="105"/>
          <w:sz w:val="23"/>
        </w:rPr>
        <w:t>rezoning</w:t>
      </w:r>
      <w:r>
        <w:rPr>
          <w:rFonts w:ascii="Times New Roman"/>
          <w:spacing w:val="-9"/>
          <w:w w:val="105"/>
          <w:sz w:val="23"/>
        </w:rPr>
        <w:t> </w:t>
      </w:r>
      <w:r>
        <w:rPr>
          <w:rFonts w:ascii="Times New Roman"/>
          <w:w w:val="105"/>
          <w:sz w:val="23"/>
        </w:rPr>
        <w:t>request</w:t>
      </w:r>
      <w:r>
        <w:rPr>
          <w:rFonts w:ascii="Times New Roman"/>
          <w:spacing w:val="-7"/>
          <w:w w:val="105"/>
          <w:sz w:val="23"/>
        </w:rPr>
        <w:t> </w:t>
      </w:r>
      <w:r>
        <w:rPr>
          <w:rFonts w:ascii="Times New Roman"/>
          <w:w w:val="105"/>
          <w:sz w:val="23"/>
        </w:rPr>
        <w:t>is</w:t>
      </w:r>
      <w:r>
        <w:rPr>
          <w:rFonts w:ascii="Times New Roman"/>
          <w:spacing w:val="-13"/>
          <w:w w:val="105"/>
          <w:sz w:val="23"/>
        </w:rPr>
        <w:t> </w:t>
      </w:r>
      <w:r>
        <w:rPr>
          <w:rFonts w:ascii="Times New Roman"/>
          <w:w w:val="105"/>
          <w:sz w:val="23"/>
        </w:rPr>
        <w:t>vacant</w:t>
      </w:r>
      <w:r>
        <w:rPr>
          <w:rFonts w:ascii="Times New Roman"/>
          <w:spacing w:val="-2"/>
          <w:w w:val="105"/>
          <w:sz w:val="23"/>
        </w:rPr>
        <w:t> </w:t>
      </w:r>
      <w:r>
        <w:rPr>
          <w:rFonts w:ascii="Times New Roman"/>
          <w:w w:val="105"/>
          <w:sz w:val="23"/>
        </w:rPr>
        <w:t>and</w:t>
      </w:r>
      <w:r>
        <w:rPr>
          <w:rFonts w:ascii="Times New Roman"/>
          <w:spacing w:val="-10"/>
          <w:w w:val="105"/>
          <w:sz w:val="23"/>
        </w:rPr>
        <w:t> </w:t>
      </w:r>
      <w:r>
        <w:rPr>
          <w:rFonts w:ascii="Times New Roman"/>
          <w:w w:val="105"/>
          <w:sz w:val="23"/>
        </w:rPr>
        <w:t>does</w:t>
      </w:r>
      <w:r>
        <w:rPr>
          <w:rFonts w:ascii="Times New Roman"/>
          <w:spacing w:val="-12"/>
          <w:w w:val="105"/>
          <w:sz w:val="23"/>
        </w:rPr>
        <w:t> </w:t>
      </w:r>
      <w:r>
        <w:rPr>
          <w:rFonts w:ascii="Times New Roman"/>
          <w:w w:val="105"/>
          <w:sz w:val="23"/>
        </w:rPr>
        <w:t>not</w:t>
      </w:r>
      <w:r>
        <w:rPr>
          <w:rFonts w:ascii="Times New Roman"/>
          <w:spacing w:val="-12"/>
          <w:w w:val="105"/>
          <w:sz w:val="23"/>
        </w:rPr>
        <w:t> </w:t>
      </w:r>
      <w:r>
        <w:rPr>
          <w:rFonts w:ascii="Times New Roman"/>
          <w:w w:val="105"/>
          <w:sz w:val="23"/>
        </w:rPr>
        <w:t>now</w:t>
      </w:r>
      <w:r>
        <w:rPr>
          <w:rFonts w:ascii="Times New Roman"/>
          <w:spacing w:val="-17"/>
          <w:w w:val="105"/>
          <w:sz w:val="23"/>
        </w:rPr>
        <w:t> </w:t>
      </w:r>
      <w:r>
        <w:rPr>
          <w:rFonts w:ascii="Times New Roman"/>
          <w:w w:val="105"/>
          <w:sz w:val="23"/>
        </w:rPr>
        <w:t>and</w:t>
      </w:r>
      <w:r>
        <w:rPr>
          <w:rFonts w:ascii="Times New Roman"/>
          <w:spacing w:val="-15"/>
          <w:w w:val="105"/>
          <w:sz w:val="23"/>
        </w:rPr>
        <w:t> </w:t>
      </w:r>
      <w:r>
        <w:rPr>
          <w:rFonts w:ascii="Times New Roman"/>
          <w:w w:val="105"/>
          <w:sz w:val="23"/>
        </w:rPr>
        <w:t>has</w:t>
      </w:r>
      <w:r>
        <w:rPr>
          <w:rFonts w:ascii="Times New Roman"/>
          <w:spacing w:val="-14"/>
          <w:w w:val="105"/>
          <w:sz w:val="23"/>
        </w:rPr>
        <w:t> </w:t>
      </w:r>
      <w:r>
        <w:rPr>
          <w:rFonts w:ascii="Times New Roman"/>
          <w:w w:val="105"/>
          <w:sz w:val="23"/>
        </w:rPr>
        <w:t>not</w:t>
      </w:r>
      <w:r>
        <w:rPr>
          <w:rFonts w:ascii="Times New Roman"/>
          <w:spacing w:val="-11"/>
          <w:w w:val="105"/>
          <w:sz w:val="23"/>
        </w:rPr>
        <w:t> </w:t>
      </w:r>
      <w:r>
        <w:rPr>
          <w:rFonts w:ascii="Times New Roman"/>
          <w:w w:val="105"/>
          <w:sz w:val="23"/>
        </w:rPr>
        <w:t>ever</w:t>
      </w:r>
      <w:r>
        <w:rPr>
          <w:rFonts w:ascii="Times New Roman"/>
          <w:spacing w:val="-9"/>
          <w:w w:val="105"/>
          <w:sz w:val="23"/>
        </w:rPr>
        <w:t> </w:t>
      </w:r>
      <w:r>
        <w:rPr>
          <w:rFonts w:ascii="Times New Roman"/>
          <w:w w:val="105"/>
          <w:sz w:val="23"/>
        </w:rPr>
        <w:t>contained</w:t>
      </w:r>
      <w:r>
        <w:rPr>
          <w:rFonts w:ascii="Times New Roman"/>
          <w:spacing w:val="-1"/>
          <w:w w:val="105"/>
          <w:sz w:val="23"/>
        </w:rPr>
        <w:t> </w:t>
      </w:r>
      <w:r>
        <w:rPr>
          <w:rFonts w:ascii="Times New Roman"/>
          <w:w w:val="105"/>
          <w:sz w:val="23"/>
        </w:rPr>
        <w:t>any</w:t>
      </w:r>
      <w:r>
        <w:rPr>
          <w:rFonts w:ascii="Times New Roman"/>
          <w:spacing w:val="-7"/>
          <w:w w:val="105"/>
          <w:sz w:val="23"/>
        </w:rPr>
        <w:t> </w:t>
      </w:r>
      <w:r>
        <w:rPr>
          <w:rFonts w:ascii="Times New Roman"/>
          <w:w w:val="105"/>
          <w:sz w:val="23"/>
        </w:rPr>
        <w:t>internments.</w:t>
      </w:r>
      <w:r>
        <w:rPr>
          <w:rFonts w:ascii="Times New Roman"/>
          <w:spacing w:val="3"/>
          <w:w w:val="105"/>
          <w:sz w:val="23"/>
        </w:rPr>
        <w:t> </w:t>
      </w:r>
      <w:r>
        <w:rPr>
          <w:rFonts w:ascii="Times New Roman"/>
          <w:w w:val="105"/>
          <w:sz w:val="23"/>
        </w:rPr>
        <w:t>The cemetery</w:t>
      </w:r>
      <w:r>
        <w:rPr>
          <w:rFonts w:ascii="Times New Roman"/>
          <w:spacing w:val="-3"/>
          <w:w w:val="105"/>
          <w:sz w:val="23"/>
        </w:rPr>
        <w:t> </w:t>
      </w:r>
      <w:r>
        <w:rPr>
          <w:rFonts w:ascii="Times New Roman"/>
          <w:w w:val="105"/>
          <w:sz w:val="23"/>
        </w:rPr>
        <w:t>is</w:t>
      </w:r>
      <w:r>
        <w:rPr>
          <w:rFonts w:ascii="Times New Roman"/>
          <w:spacing w:val="-19"/>
          <w:w w:val="105"/>
          <w:sz w:val="23"/>
        </w:rPr>
        <w:t> </w:t>
      </w:r>
      <w:r>
        <w:rPr>
          <w:rFonts w:ascii="Times New Roman"/>
          <w:w w:val="105"/>
          <w:sz w:val="23"/>
        </w:rPr>
        <w:t>owned</w:t>
      </w:r>
      <w:r>
        <w:rPr>
          <w:rFonts w:ascii="Times New Roman"/>
          <w:spacing w:val="-9"/>
          <w:w w:val="105"/>
          <w:sz w:val="23"/>
        </w:rPr>
        <w:t> </w:t>
      </w:r>
      <w:r>
        <w:rPr>
          <w:rFonts w:ascii="Times New Roman"/>
          <w:w w:val="105"/>
          <w:sz w:val="23"/>
        </w:rPr>
        <w:t>and</w:t>
      </w:r>
      <w:r>
        <w:rPr>
          <w:rFonts w:ascii="Times New Roman"/>
          <w:spacing w:val="-12"/>
          <w:w w:val="105"/>
          <w:sz w:val="23"/>
        </w:rPr>
        <w:t> </w:t>
      </w:r>
      <w:r>
        <w:rPr>
          <w:rFonts w:ascii="Times New Roman"/>
          <w:w w:val="105"/>
          <w:sz w:val="23"/>
        </w:rPr>
        <w:t>run</w:t>
      </w:r>
      <w:r>
        <w:rPr>
          <w:rFonts w:ascii="Times New Roman"/>
          <w:spacing w:val="-10"/>
          <w:w w:val="105"/>
          <w:sz w:val="23"/>
        </w:rPr>
        <w:t> </w:t>
      </w:r>
      <w:r>
        <w:rPr>
          <w:rFonts w:ascii="Times New Roman"/>
          <w:w w:val="105"/>
          <w:sz w:val="23"/>
        </w:rPr>
        <w:t>by</w:t>
      </w:r>
      <w:r>
        <w:rPr>
          <w:rFonts w:ascii="Times New Roman"/>
          <w:spacing w:val="-11"/>
          <w:w w:val="105"/>
          <w:sz w:val="23"/>
        </w:rPr>
        <w:t> </w:t>
      </w:r>
      <w:r>
        <w:rPr>
          <w:rFonts w:ascii="Times New Roman"/>
          <w:w w:val="105"/>
          <w:sz w:val="23"/>
        </w:rPr>
        <w:t>the</w:t>
      </w:r>
      <w:r>
        <w:rPr>
          <w:rFonts w:ascii="Times New Roman"/>
          <w:spacing w:val="-12"/>
          <w:w w:val="105"/>
          <w:sz w:val="23"/>
        </w:rPr>
        <w:t> </w:t>
      </w:r>
      <w:r>
        <w:rPr>
          <w:rFonts w:ascii="Times New Roman"/>
          <w:w w:val="105"/>
          <w:sz w:val="23"/>
        </w:rPr>
        <w:t>Westview</w:t>
      </w:r>
      <w:r>
        <w:rPr>
          <w:rFonts w:ascii="Times New Roman"/>
          <w:spacing w:val="-5"/>
          <w:w w:val="105"/>
          <w:sz w:val="23"/>
        </w:rPr>
        <w:t> </w:t>
      </w:r>
      <w:r>
        <w:rPr>
          <w:rFonts w:ascii="Times New Roman"/>
          <w:w w:val="105"/>
          <w:sz w:val="23"/>
        </w:rPr>
        <w:t>Community Cemetery</w:t>
      </w:r>
      <w:r>
        <w:rPr>
          <w:rFonts w:ascii="Times New Roman"/>
          <w:spacing w:val="-7"/>
          <w:w w:val="105"/>
          <w:sz w:val="23"/>
        </w:rPr>
        <w:t> </w:t>
      </w:r>
      <w:r>
        <w:rPr>
          <w:rFonts w:ascii="Times New Roman"/>
          <w:w w:val="105"/>
          <w:sz w:val="23"/>
        </w:rPr>
        <w:t>of</w:t>
      </w:r>
      <w:r>
        <w:rPr>
          <w:rFonts w:ascii="Times New Roman"/>
          <w:spacing w:val="-14"/>
          <w:w w:val="105"/>
          <w:sz w:val="23"/>
        </w:rPr>
        <w:t> </w:t>
      </w:r>
      <w:r>
        <w:rPr>
          <w:rFonts w:ascii="Times New Roman"/>
          <w:w w:val="105"/>
          <w:sz w:val="23"/>
        </w:rPr>
        <w:t>Pompano</w:t>
      </w:r>
      <w:r>
        <w:rPr>
          <w:rFonts w:ascii="Times New Roman"/>
          <w:spacing w:val="-6"/>
          <w:w w:val="105"/>
          <w:sz w:val="23"/>
        </w:rPr>
        <w:t> </w:t>
      </w:r>
      <w:r>
        <w:rPr>
          <w:rFonts w:ascii="Times New Roman"/>
          <w:w w:val="105"/>
          <w:sz w:val="23"/>
        </w:rPr>
        <w:t>Beach,</w:t>
      </w:r>
      <w:r>
        <w:rPr>
          <w:rFonts w:ascii="Times New Roman"/>
          <w:spacing w:val="-14"/>
          <w:w w:val="105"/>
          <w:sz w:val="23"/>
        </w:rPr>
        <w:t> </w:t>
      </w:r>
      <w:r>
        <w:rPr>
          <w:rFonts w:ascii="Times New Roman"/>
          <w:w w:val="105"/>
          <w:sz w:val="23"/>
        </w:rPr>
        <w:t>FL.,</w:t>
      </w:r>
      <w:r>
        <w:rPr>
          <w:rFonts w:ascii="Times New Roman"/>
          <w:spacing w:val="-16"/>
          <w:w w:val="105"/>
          <w:sz w:val="23"/>
        </w:rPr>
        <w:t> </w:t>
      </w:r>
      <w:r>
        <w:rPr>
          <w:rFonts w:ascii="Times New Roman"/>
          <w:w w:val="105"/>
          <w:sz w:val="23"/>
        </w:rPr>
        <w:t>Inc., a Florida non-profit corporation located in Pompano</w:t>
      </w:r>
      <w:r>
        <w:rPr>
          <w:rFonts w:ascii="Times New Roman"/>
          <w:spacing w:val="5"/>
          <w:w w:val="105"/>
          <w:sz w:val="23"/>
        </w:rPr>
        <w:t> </w:t>
      </w:r>
      <w:r>
        <w:rPr>
          <w:rFonts w:ascii="Times New Roman"/>
          <w:w w:val="105"/>
          <w:sz w:val="23"/>
        </w:rPr>
        <w:t>Beach.</w:t>
      </w:r>
    </w:p>
    <w:p>
      <w:pPr>
        <w:pStyle w:val="BodyText"/>
        <w:spacing w:before="1"/>
        <w:rPr>
          <w:rFonts w:ascii="Times New Roman"/>
        </w:rPr>
      </w:pPr>
    </w:p>
    <w:p>
      <w:pPr>
        <w:spacing w:line="252" w:lineRule="auto" w:before="0"/>
        <w:ind w:left="969" w:right="1480" w:firstLine="717"/>
        <w:jc w:val="both"/>
        <w:rPr>
          <w:rFonts w:ascii="Times New Roman"/>
          <w:sz w:val="23"/>
        </w:rPr>
      </w:pPr>
      <w:r>
        <w:rPr>
          <w:rFonts w:ascii="Times New Roman"/>
          <w:w w:val="105"/>
          <w:sz w:val="23"/>
        </w:rPr>
        <w:t>The Property is surrounded by industrial development. The zoning proposed for the Property</w:t>
      </w:r>
      <w:r>
        <w:rPr>
          <w:rFonts w:ascii="Times New Roman"/>
          <w:spacing w:val="-16"/>
          <w:w w:val="105"/>
          <w:sz w:val="23"/>
        </w:rPr>
        <w:t> </w:t>
      </w:r>
      <w:r>
        <w:rPr>
          <w:rFonts w:ascii="Times New Roman"/>
          <w:w w:val="105"/>
          <w:sz w:val="23"/>
        </w:rPr>
        <w:t>is</w:t>
      </w:r>
      <w:r>
        <w:rPr>
          <w:rFonts w:ascii="Times New Roman"/>
          <w:spacing w:val="-22"/>
          <w:w w:val="105"/>
          <w:sz w:val="23"/>
        </w:rPr>
        <w:t> </w:t>
      </w:r>
      <w:r>
        <w:rPr>
          <w:rFonts w:ascii="Times New Roman"/>
          <w:w w:val="105"/>
          <w:sz w:val="23"/>
        </w:rPr>
        <w:t>General</w:t>
      </w:r>
      <w:r>
        <w:rPr>
          <w:rFonts w:ascii="Times New Roman"/>
          <w:spacing w:val="-20"/>
          <w:w w:val="105"/>
          <w:sz w:val="23"/>
        </w:rPr>
        <w:t> </w:t>
      </w:r>
      <w:r>
        <w:rPr>
          <w:rFonts w:ascii="Times New Roman"/>
          <w:w w:val="105"/>
          <w:sz w:val="23"/>
        </w:rPr>
        <w:t>Industrial</w:t>
      </w:r>
      <w:r>
        <w:rPr>
          <w:rFonts w:ascii="Times New Roman"/>
          <w:spacing w:val="-13"/>
          <w:w w:val="105"/>
          <w:sz w:val="23"/>
        </w:rPr>
        <w:t> </w:t>
      </w:r>
      <w:r>
        <w:rPr>
          <w:rFonts w:ascii="Times New Roman"/>
          <w:w w:val="105"/>
          <w:sz w:val="23"/>
        </w:rPr>
        <w:t>(I-1),</w:t>
      </w:r>
      <w:r>
        <w:rPr>
          <w:rFonts w:ascii="Times New Roman"/>
          <w:spacing w:val="-19"/>
          <w:w w:val="105"/>
          <w:sz w:val="23"/>
        </w:rPr>
        <w:t> </w:t>
      </w:r>
      <w:r>
        <w:rPr>
          <w:rFonts w:ascii="Times New Roman"/>
          <w:w w:val="105"/>
          <w:sz w:val="23"/>
        </w:rPr>
        <w:t>which</w:t>
      </w:r>
      <w:r>
        <w:rPr>
          <w:rFonts w:ascii="Times New Roman"/>
          <w:spacing w:val="-25"/>
          <w:w w:val="105"/>
          <w:sz w:val="23"/>
        </w:rPr>
        <w:t> </w:t>
      </w:r>
      <w:r>
        <w:rPr>
          <w:rFonts w:ascii="Times New Roman"/>
          <w:w w:val="105"/>
          <w:sz w:val="23"/>
        </w:rPr>
        <w:t>is</w:t>
      </w:r>
      <w:r>
        <w:rPr>
          <w:rFonts w:ascii="Times New Roman"/>
          <w:spacing w:val="-26"/>
          <w:w w:val="105"/>
          <w:sz w:val="23"/>
        </w:rPr>
        <w:t> </w:t>
      </w:r>
      <w:r>
        <w:rPr>
          <w:rFonts w:ascii="Times New Roman"/>
          <w:w w:val="105"/>
          <w:sz w:val="23"/>
        </w:rPr>
        <w:t>consistent</w:t>
      </w:r>
      <w:r>
        <w:rPr>
          <w:rFonts w:ascii="Times New Roman"/>
          <w:spacing w:val="-15"/>
          <w:w w:val="105"/>
          <w:sz w:val="23"/>
        </w:rPr>
        <w:t> </w:t>
      </w:r>
      <w:r>
        <w:rPr>
          <w:rFonts w:ascii="Times New Roman"/>
          <w:w w:val="105"/>
          <w:sz w:val="23"/>
        </w:rPr>
        <w:t>with</w:t>
      </w:r>
      <w:r>
        <w:rPr>
          <w:rFonts w:ascii="Times New Roman"/>
          <w:spacing w:val="-22"/>
          <w:w w:val="105"/>
          <w:sz w:val="23"/>
        </w:rPr>
        <w:t> </w:t>
      </w:r>
      <w:r>
        <w:rPr>
          <w:rFonts w:ascii="Times New Roman"/>
          <w:w w:val="105"/>
          <w:sz w:val="23"/>
        </w:rPr>
        <w:t>the</w:t>
      </w:r>
      <w:r>
        <w:rPr>
          <w:rFonts w:ascii="Times New Roman"/>
          <w:spacing w:val="-24"/>
          <w:w w:val="105"/>
          <w:sz w:val="23"/>
        </w:rPr>
        <w:t> </w:t>
      </w:r>
      <w:r>
        <w:rPr>
          <w:rFonts w:ascii="Times New Roman"/>
          <w:w w:val="105"/>
          <w:sz w:val="23"/>
        </w:rPr>
        <w:t>uses</w:t>
      </w:r>
      <w:r>
        <w:rPr>
          <w:rFonts w:ascii="Times New Roman"/>
          <w:spacing w:val="-21"/>
          <w:w w:val="105"/>
          <w:sz w:val="23"/>
        </w:rPr>
        <w:t> </w:t>
      </w:r>
      <w:r>
        <w:rPr>
          <w:rFonts w:ascii="Times New Roman"/>
          <w:w w:val="105"/>
          <w:sz w:val="23"/>
        </w:rPr>
        <w:t>allowed</w:t>
      </w:r>
      <w:r>
        <w:rPr>
          <w:rFonts w:ascii="Times New Roman"/>
          <w:spacing w:val="-12"/>
          <w:w w:val="105"/>
          <w:sz w:val="23"/>
        </w:rPr>
        <w:t> </w:t>
      </w:r>
      <w:r>
        <w:rPr>
          <w:rFonts w:ascii="Times New Roman"/>
          <w:w w:val="105"/>
          <w:sz w:val="23"/>
        </w:rPr>
        <w:t>by</w:t>
      </w:r>
      <w:r>
        <w:rPr>
          <w:rFonts w:ascii="Times New Roman"/>
          <w:spacing w:val="-24"/>
          <w:w w:val="105"/>
          <w:sz w:val="23"/>
        </w:rPr>
        <w:t> </w:t>
      </w:r>
      <w:r>
        <w:rPr>
          <w:rFonts w:ascii="Times New Roman"/>
          <w:b/>
          <w:i/>
          <w:w w:val="105"/>
          <w:sz w:val="23"/>
        </w:rPr>
        <w:t>Section</w:t>
      </w:r>
      <w:r>
        <w:rPr>
          <w:rFonts w:ascii="Times New Roman"/>
          <w:b/>
          <w:i/>
          <w:spacing w:val="-18"/>
          <w:w w:val="105"/>
          <w:sz w:val="23"/>
        </w:rPr>
        <w:t> </w:t>
      </w:r>
      <w:r>
        <w:rPr>
          <w:rFonts w:ascii="Times New Roman"/>
          <w:b/>
          <w:i/>
          <w:w w:val="105"/>
          <w:sz w:val="23"/>
        </w:rPr>
        <w:t>155.3401 </w:t>
      </w:r>
      <w:r>
        <w:rPr>
          <w:rFonts w:ascii="Times New Roman"/>
          <w:b/>
          <w:i/>
          <w:w w:val="105"/>
          <w:sz w:val="23"/>
        </w:rPr>
        <w:t>of</w:t>
      </w:r>
      <w:r>
        <w:rPr>
          <w:rFonts w:ascii="Times New Roman"/>
          <w:b/>
          <w:i/>
          <w:spacing w:val="-24"/>
          <w:w w:val="105"/>
          <w:sz w:val="23"/>
        </w:rPr>
        <w:t> </w:t>
      </w:r>
      <w:r>
        <w:rPr>
          <w:rFonts w:ascii="Times New Roman"/>
          <w:b/>
          <w:i/>
          <w:w w:val="105"/>
          <w:sz w:val="23"/>
        </w:rPr>
        <w:t>the</w:t>
      </w:r>
      <w:r>
        <w:rPr>
          <w:rFonts w:ascii="Times New Roman"/>
          <w:b/>
          <w:i/>
          <w:spacing w:val="-23"/>
          <w:w w:val="105"/>
          <w:sz w:val="23"/>
        </w:rPr>
        <w:t> </w:t>
      </w:r>
      <w:r>
        <w:rPr>
          <w:rFonts w:ascii="Times New Roman"/>
          <w:b/>
          <w:i/>
          <w:w w:val="105"/>
          <w:sz w:val="23"/>
        </w:rPr>
        <w:t>City's</w:t>
      </w:r>
      <w:r>
        <w:rPr>
          <w:rFonts w:ascii="Times New Roman"/>
          <w:b/>
          <w:i/>
          <w:spacing w:val="-27"/>
          <w:w w:val="105"/>
          <w:sz w:val="23"/>
        </w:rPr>
        <w:t> </w:t>
      </w:r>
      <w:r>
        <w:rPr>
          <w:rFonts w:ascii="Times New Roman"/>
          <w:b/>
          <w:i/>
          <w:w w:val="105"/>
          <w:sz w:val="23"/>
        </w:rPr>
        <w:t>Zoning</w:t>
      </w:r>
      <w:r>
        <w:rPr>
          <w:rFonts w:ascii="Times New Roman"/>
          <w:b/>
          <w:i/>
          <w:spacing w:val="-16"/>
          <w:w w:val="105"/>
          <w:sz w:val="23"/>
        </w:rPr>
        <w:t> </w:t>
      </w:r>
      <w:r>
        <w:rPr>
          <w:rFonts w:ascii="Times New Roman"/>
          <w:b/>
          <w:i/>
          <w:w w:val="105"/>
          <w:sz w:val="23"/>
        </w:rPr>
        <w:t>Code,</w:t>
      </w:r>
      <w:r>
        <w:rPr>
          <w:rFonts w:ascii="Times New Roman"/>
          <w:b/>
          <w:i/>
          <w:spacing w:val="-26"/>
          <w:w w:val="105"/>
          <w:sz w:val="23"/>
        </w:rPr>
        <w:t> </w:t>
      </w:r>
      <w:r>
        <w:rPr>
          <w:rFonts w:ascii="Times New Roman"/>
          <w:w w:val="105"/>
          <w:sz w:val="23"/>
        </w:rPr>
        <w:t>including</w:t>
      </w:r>
      <w:r>
        <w:rPr>
          <w:rFonts w:ascii="Times New Roman"/>
          <w:spacing w:val="-15"/>
          <w:w w:val="105"/>
          <w:sz w:val="23"/>
        </w:rPr>
        <w:t> </w:t>
      </w:r>
      <w:r>
        <w:rPr>
          <w:rFonts w:ascii="Times New Roman"/>
          <w:w w:val="105"/>
          <w:sz w:val="23"/>
        </w:rPr>
        <w:t>but</w:t>
      </w:r>
      <w:r>
        <w:rPr>
          <w:rFonts w:ascii="Times New Roman"/>
          <w:spacing w:val="-26"/>
          <w:w w:val="105"/>
          <w:sz w:val="23"/>
        </w:rPr>
        <w:t> </w:t>
      </w:r>
      <w:r>
        <w:rPr>
          <w:rFonts w:ascii="Times New Roman"/>
          <w:w w:val="105"/>
          <w:sz w:val="23"/>
        </w:rPr>
        <w:t>not</w:t>
      </w:r>
      <w:r>
        <w:rPr>
          <w:rFonts w:ascii="Times New Roman"/>
          <w:spacing w:val="-27"/>
          <w:w w:val="105"/>
          <w:sz w:val="23"/>
        </w:rPr>
        <w:t> </w:t>
      </w:r>
      <w:r>
        <w:rPr>
          <w:rFonts w:ascii="Times New Roman"/>
          <w:w w:val="105"/>
          <w:sz w:val="23"/>
        </w:rPr>
        <w:t>limited</w:t>
      </w:r>
      <w:r>
        <w:rPr>
          <w:rFonts w:ascii="Times New Roman"/>
          <w:spacing w:val="-21"/>
          <w:w w:val="105"/>
          <w:sz w:val="23"/>
        </w:rPr>
        <w:t> </w:t>
      </w:r>
      <w:r>
        <w:rPr>
          <w:rFonts w:ascii="Times New Roman"/>
          <w:w w:val="105"/>
          <w:sz w:val="23"/>
        </w:rPr>
        <w:t>to,</w:t>
      </w:r>
      <w:r>
        <w:rPr>
          <w:rFonts w:ascii="Times New Roman"/>
          <w:spacing w:val="-27"/>
          <w:w w:val="105"/>
          <w:sz w:val="23"/>
        </w:rPr>
        <w:t> </w:t>
      </w:r>
      <w:r>
        <w:rPr>
          <w:rFonts w:ascii="Times New Roman"/>
          <w:w w:val="105"/>
          <w:sz w:val="23"/>
        </w:rPr>
        <w:t>light</w:t>
      </w:r>
      <w:r>
        <w:rPr>
          <w:rFonts w:ascii="Times New Roman"/>
          <w:spacing w:val="-28"/>
          <w:w w:val="105"/>
          <w:sz w:val="23"/>
        </w:rPr>
        <w:t> </w:t>
      </w:r>
      <w:r>
        <w:rPr>
          <w:rFonts w:ascii="Times New Roman"/>
          <w:w w:val="105"/>
          <w:sz w:val="23"/>
        </w:rPr>
        <w:t>industrial</w:t>
      </w:r>
      <w:r>
        <w:rPr>
          <w:rFonts w:ascii="Times New Roman"/>
          <w:spacing w:val="-16"/>
          <w:w w:val="105"/>
          <w:sz w:val="23"/>
        </w:rPr>
        <w:t> </w:t>
      </w:r>
      <w:r>
        <w:rPr>
          <w:rFonts w:ascii="Times New Roman"/>
          <w:w w:val="105"/>
          <w:sz w:val="23"/>
        </w:rPr>
        <w:t>uses</w:t>
      </w:r>
      <w:r>
        <w:rPr>
          <w:rFonts w:ascii="Times New Roman"/>
          <w:spacing w:val="-24"/>
          <w:w w:val="105"/>
          <w:sz w:val="23"/>
        </w:rPr>
        <w:t> </w:t>
      </w:r>
      <w:r>
        <w:rPr>
          <w:rFonts w:ascii="Times New Roman"/>
          <w:w w:val="105"/>
          <w:sz w:val="23"/>
        </w:rPr>
        <w:t>such</w:t>
      </w:r>
      <w:r>
        <w:rPr>
          <w:rFonts w:ascii="Times New Roman"/>
          <w:spacing w:val="-29"/>
          <w:w w:val="105"/>
          <w:sz w:val="23"/>
        </w:rPr>
        <w:t> </w:t>
      </w:r>
      <w:r>
        <w:rPr>
          <w:rFonts w:ascii="Times New Roman"/>
          <w:w w:val="105"/>
          <w:sz w:val="23"/>
        </w:rPr>
        <w:t>as</w:t>
      </w:r>
      <w:r>
        <w:rPr>
          <w:rFonts w:ascii="Times New Roman"/>
          <w:spacing w:val="-30"/>
          <w:w w:val="105"/>
          <w:sz w:val="23"/>
        </w:rPr>
        <w:t> </w:t>
      </w:r>
      <w:r>
        <w:rPr>
          <w:rFonts w:ascii="Times New Roman"/>
          <w:w w:val="105"/>
          <w:sz w:val="23"/>
        </w:rPr>
        <w:t>manufacturing, assembly, fabrication, processing, distribution, warehousing, research and development , but not heavy or hazardous manufacturing</w:t>
      </w:r>
      <w:r>
        <w:rPr>
          <w:rFonts w:ascii="Times New Roman"/>
          <w:spacing w:val="34"/>
          <w:w w:val="105"/>
          <w:sz w:val="23"/>
        </w:rPr>
        <w:t> </w:t>
      </w:r>
      <w:r>
        <w:rPr>
          <w:rFonts w:ascii="Times New Roman"/>
          <w:w w:val="105"/>
          <w:sz w:val="23"/>
        </w:rPr>
        <w:t>processes.</w:t>
      </w:r>
    </w:p>
    <w:p>
      <w:pPr>
        <w:pStyle w:val="BodyText"/>
        <w:spacing w:before="10"/>
        <w:rPr>
          <w:rFonts w:ascii="Times New Roman"/>
          <w:sz w:val="23"/>
        </w:rPr>
      </w:pPr>
    </w:p>
    <w:p>
      <w:pPr>
        <w:spacing w:line="249" w:lineRule="auto" w:before="0"/>
        <w:ind w:left="1682" w:right="1484" w:firstLine="58"/>
        <w:jc w:val="both"/>
        <w:rPr>
          <w:rFonts w:ascii="Times New Roman"/>
          <w:sz w:val="23"/>
        </w:rPr>
      </w:pPr>
      <w:r>
        <w:rPr>
          <w:rFonts w:ascii="Times New Roman"/>
          <w:w w:val="105"/>
          <w:sz w:val="23"/>
        </w:rPr>
        <w:t>"The</w:t>
      </w:r>
      <w:r>
        <w:rPr>
          <w:rFonts w:ascii="Times New Roman"/>
          <w:spacing w:val="-18"/>
          <w:w w:val="105"/>
          <w:sz w:val="23"/>
        </w:rPr>
        <w:t> </w:t>
      </w:r>
      <w:r>
        <w:rPr>
          <w:rFonts w:ascii="Times New Roman"/>
          <w:b/>
          <w:w w:val="105"/>
          <w:sz w:val="23"/>
        </w:rPr>
        <w:t>General</w:t>
      </w:r>
      <w:r>
        <w:rPr>
          <w:rFonts w:ascii="Times New Roman"/>
          <w:b/>
          <w:spacing w:val="-22"/>
          <w:w w:val="105"/>
          <w:sz w:val="23"/>
        </w:rPr>
        <w:t> </w:t>
      </w:r>
      <w:r>
        <w:rPr>
          <w:rFonts w:ascii="Times New Roman"/>
          <w:b/>
          <w:w w:val="105"/>
          <w:sz w:val="23"/>
        </w:rPr>
        <w:t>Industrial</w:t>
      </w:r>
      <w:r>
        <w:rPr>
          <w:rFonts w:ascii="Times New Roman"/>
          <w:b/>
          <w:spacing w:val="-19"/>
          <w:w w:val="105"/>
          <w:sz w:val="23"/>
        </w:rPr>
        <w:t> </w:t>
      </w:r>
      <w:r>
        <w:rPr>
          <w:rFonts w:ascii="Times New Roman"/>
          <w:b/>
          <w:w w:val="105"/>
          <w:sz w:val="23"/>
        </w:rPr>
        <w:t>(1-1)</w:t>
      </w:r>
      <w:r>
        <w:rPr>
          <w:rFonts w:ascii="Times New Roman"/>
          <w:b/>
          <w:spacing w:val="-24"/>
          <w:w w:val="105"/>
          <w:sz w:val="23"/>
        </w:rPr>
        <w:t> </w:t>
      </w:r>
      <w:r>
        <w:rPr>
          <w:rFonts w:ascii="Times New Roman"/>
          <w:w w:val="105"/>
          <w:sz w:val="23"/>
        </w:rPr>
        <w:t>district</w:t>
      </w:r>
      <w:r>
        <w:rPr>
          <w:rFonts w:ascii="Times New Roman"/>
          <w:spacing w:val="-22"/>
          <w:w w:val="105"/>
          <w:sz w:val="23"/>
        </w:rPr>
        <w:t> </w:t>
      </w:r>
      <w:r>
        <w:rPr>
          <w:rFonts w:ascii="Times New Roman"/>
          <w:w w:val="105"/>
          <w:sz w:val="23"/>
        </w:rPr>
        <w:t>is</w:t>
      </w:r>
      <w:r>
        <w:rPr>
          <w:rFonts w:ascii="Times New Roman"/>
          <w:spacing w:val="-26"/>
          <w:w w:val="105"/>
          <w:sz w:val="23"/>
        </w:rPr>
        <w:t> </w:t>
      </w:r>
      <w:r>
        <w:rPr>
          <w:rFonts w:ascii="Times New Roman"/>
          <w:w w:val="105"/>
          <w:sz w:val="23"/>
        </w:rPr>
        <w:t>established</w:t>
      </w:r>
      <w:r>
        <w:rPr>
          <w:rFonts w:ascii="Times New Roman"/>
          <w:spacing w:val="-7"/>
          <w:w w:val="105"/>
          <w:sz w:val="23"/>
        </w:rPr>
        <w:t> </w:t>
      </w:r>
      <w:r>
        <w:rPr>
          <w:rFonts w:ascii="Times New Roman"/>
          <w:w w:val="105"/>
          <w:sz w:val="23"/>
        </w:rPr>
        <w:t>and</w:t>
      </w:r>
      <w:r>
        <w:rPr>
          <w:rFonts w:ascii="Times New Roman"/>
          <w:spacing w:val="-18"/>
          <w:w w:val="105"/>
          <w:sz w:val="23"/>
        </w:rPr>
        <w:t> </w:t>
      </w:r>
      <w:r>
        <w:rPr>
          <w:rFonts w:ascii="Times New Roman"/>
          <w:w w:val="105"/>
          <w:sz w:val="23"/>
        </w:rPr>
        <w:t>intended</w:t>
      </w:r>
      <w:r>
        <w:rPr>
          <w:rFonts w:ascii="Times New Roman"/>
          <w:spacing w:val="-19"/>
          <w:w w:val="105"/>
          <w:sz w:val="23"/>
        </w:rPr>
        <w:t> </w:t>
      </w:r>
      <w:r>
        <w:rPr>
          <w:rFonts w:ascii="Times New Roman"/>
          <w:w w:val="105"/>
          <w:sz w:val="23"/>
        </w:rPr>
        <w:t>to</w:t>
      </w:r>
      <w:r>
        <w:rPr>
          <w:rFonts w:ascii="Times New Roman"/>
          <w:spacing w:val="-28"/>
          <w:w w:val="105"/>
          <w:sz w:val="23"/>
        </w:rPr>
        <w:t> </w:t>
      </w:r>
      <w:r>
        <w:rPr>
          <w:rFonts w:ascii="Times New Roman"/>
          <w:w w:val="105"/>
          <w:sz w:val="23"/>
        </w:rPr>
        <w:t>accommodate</w:t>
      </w:r>
      <w:r>
        <w:rPr>
          <w:rFonts w:ascii="Times New Roman"/>
          <w:spacing w:val="-9"/>
          <w:w w:val="105"/>
          <w:sz w:val="23"/>
        </w:rPr>
        <w:t> </w:t>
      </w:r>
      <w:r>
        <w:rPr>
          <w:rFonts w:ascii="Times New Roman"/>
          <w:w w:val="105"/>
          <w:sz w:val="23"/>
        </w:rPr>
        <w:t>a</w:t>
      </w:r>
      <w:r>
        <w:rPr>
          <w:rFonts w:ascii="Times New Roman"/>
          <w:spacing w:val="-27"/>
          <w:w w:val="105"/>
          <w:sz w:val="23"/>
        </w:rPr>
        <w:t> </w:t>
      </w:r>
      <w:r>
        <w:rPr>
          <w:rFonts w:ascii="Times New Roman"/>
          <w:w w:val="105"/>
          <w:sz w:val="23"/>
        </w:rPr>
        <w:t>wide range</w:t>
      </w:r>
      <w:r>
        <w:rPr>
          <w:rFonts w:ascii="Times New Roman"/>
          <w:spacing w:val="-25"/>
          <w:w w:val="105"/>
          <w:sz w:val="23"/>
        </w:rPr>
        <w:t> </w:t>
      </w:r>
      <w:r>
        <w:rPr>
          <w:rFonts w:ascii="Times New Roman"/>
          <w:w w:val="105"/>
          <w:sz w:val="23"/>
        </w:rPr>
        <w:t>of</w:t>
      </w:r>
      <w:r>
        <w:rPr>
          <w:rFonts w:ascii="Times New Roman"/>
          <w:spacing w:val="-28"/>
          <w:w w:val="105"/>
          <w:sz w:val="23"/>
        </w:rPr>
        <w:t> </w:t>
      </w:r>
      <w:r>
        <w:rPr>
          <w:rFonts w:ascii="Times New Roman"/>
          <w:w w:val="105"/>
          <w:sz w:val="23"/>
        </w:rPr>
        <w:t>light</w:t>
      </w:r>
      <w:r>
        <w:rPr>
          <w:rFonts w:ascii="Times New Roman"/>
          <w:spacing w:val="-23"/>
          <w:w w:val="105"/>
          <w:sz w:val="23"/>
        </w:rPr>
        <w:t> </w:t>
      </w:r>
      <w:r>
        <w:rPr>
          <w:rFonts w:ascii="Times New Roman"/>
          <w:w w:val="105"/>
          <w:sz w:val="23"/>
        </w:rPr>
        <w:t>and</w:t>
      </w:r>
      <w:r>
        <w:rPr>
          <w:rFonts w:ascii="Times New Roman"/>
          <w:spacing w:val="-23"/>
          <w:w w:val="105"/>
          <w:sz w:val="23"/>
        </w:rPr>
        <w:t> </w:t>
      </w:r>
      <w:r>
        <w:rPr>
          <w:rFonts w:ascii="Times New Roman"/>
          <w:w w:val="105"/>
          <w:sz w:val="23"/>
        </w:rPr>
        <w:t>moderate</w:t>
      </w:r>
      <w:r>
        <w:rPr>
          <w:rFonts w:ascii="Times New Roman"/>
          <w:spacing w:val="-25"/>
          <w:w w:val="105"/>
          <w:sz w:val="23"/>
        </w:rPr>
        <w:t> </w:t>
      </w:r>
      <w:r>
        <w:rPr>
          <w:rFonts w:ascii="Times New Roman"/>
          <w:w w:val="105"/>
          <w:sz w:val="23"/>
        </w:rPr>
        <w:t>manufacturing,</w:t>
      </w:r>
      <w:r>
        <w:rPr>
          <w:rFonts w:ascii="Times New Roman"/>
          <w:spacing w:val="-31"/>
          <w:w w:val="105"/>
          <w:sz w:val="23"/>
        </w:rPr>
        <w:t> </w:t>
      </w:r>
      <w:r>
        <w:rPr>
          <w:rFonts w:ascii="Times New Roman"/>
          <w:w w:val="105"/>
          <w:sz w:val="23"/>
        </w:rPr>
        <w:t>assembly,</w:t>
      </w:r>
      <w:r>
        <w:rPr>
          <w:rFonts w:ascii="Times New Roman"/>
          <w:spacing w:val="-21"/>
          <w:w w:val="105"/>
          <w:sz w:val="23"/>
        </w:rPr>
        <w:t> </w:t>
      </w:r>
      <w:r>
        <w:rPr>
          <w:rFonts w:ascii="Times New Roman"/>
          <w:w w:val="105"/>
          <w:sz w:val="23"/>
        </w:rPr>
        <w:t>fabrication,</w:t>
      </w:r>
      <w:r>
        <w:rPr>
          <w:rFonts w:ascii="Times New Roman"/>
          <w:spacing w:val="-19"/>
          <w:w w:val="105"/>
          <w:sz w:val="23"/>
        </w:rPr>
        <w:t> </w:t>
      </w:r>
      <w:r>
        <w:rPr>
          <w:rFonts w:ascii="Times New Roman"/>
          <w:w w:val="105"/>
          <w:sz w:val="23"/>
        </w:rPr>
        <w:t>processing,</w:t>
      </w:r>
      <w:r>
        <w:rPr>
          <w:rFonts w:ascii="Times New Roman"/>
          <w:spacing w:val="-19"/>
          <w:w w:val="105"/>
          <w:sz w:val="23"/>
        </w:rPr>
        <w:t> </w:t>
      </w:r>
      <w:r>
        <w:rPr>
          <w:rFonts w:ascii="Times New Roman"/>
          <w:w w:val="105"/>
          <w:sz w:val="23"/>
        </w:rPr>
        <w:t>distribution, warehousing, research and development, and other </w:t>
      </w:r>
      <w:r>
        <w:rPr>
          <w:rFonts w:ascii="Times New Roman"/>
          <w:b/>
          <w:w w:val="105"/>
          <w:sz w:val="23"/>
        </w:rPr>
        <w:t>industrial </w:t>
      </w:r>
      <w:r>
        <w:rPr>
          <w:rFonts w:ascii="Times New Roman"/>
          <w:w w:val="105"/>
          <w:sz w:val="23"/>
        </w:rPr>
        <w:t>uses-but not heavy or hazardous manufacturing</w:t>
      </w:r>
      <w:r>
        <w:rPr>
          <w:rFonts w:ascii="Times New Roman"/>
          <w:spacing w:val="26"/>
          <w:w w:val="105"/>
          <w:sz w:val="23"/>
        </w:rPr>
        <w:t> </w:t>
      </w:r>
      <w:r>
        <w:rPr>
          <w:rFonts w:ascii="Times New Roman"/>
          <w:w w:val="105"/>
          <w:sz w:val="23"/>
        </w:rPr>
        <w:t>processes."</w:t>
      </w:r>
    </w:p>
    <w:p>
      <w:pPr>
        <w:pStyle w:val="BodyText"/>
        <w:rPr>
          <w:rFonts w:ascii="Times New Roman"/>
          <w:sz w:val="26"/>
        </w:rPr>
      </w:pPr>
    </w:p>
    <w:p>
      <w:pPr>
        <w:pStyle w:val="BodyText"/>
        <w:spacing w:before="7"/>
        <w:rPr>
          <w:rFonts w:ascii="Times New Roman"/>
          <w:sz w:val="23"/>
        </w:rPr>
      </w:pPr>
    </w:p>
    <w:p>
      <w:pPr>
        <w:spacing w:before="0"/>
        <w:ind w:left="966" w:right="0" w:firstLine="0"/>
        <w:jc w:val="left"/>
        <w:rPr>
          <w:rFonts w:ascii="Times New Roman"/>
          <w:sz w:val="15"/>
        </w:rPr>
      </w:pPr>
      <w:r>
        <w:rPr>
          <w:rFonts w:ascii="Times New Roman"/>
          <w:w w:val="105"/>
          <w:sz w:val="15"/>
        </w:rPr>
        <w:t>ACTIVE:12456848.1</w:t>
      </w:r>
    </w:p>
    <w:p>
      <w:pPr>
        <w:pStyle w:val="BodyText"/>
        <w:rPr>
          <w:rFonts w:ascii="Times New Roman"/>
          <w:sz w:val="16"/>
        </w:rPr>
      </w:pPr>
    </w:p>
    <w:p>
      <w:pPr>
        <w:pStyle w:val="BodyText"/>
        <w:rPr>
          <w:rFonts w:ascii="Times New Roman"/>
          <w:sz w:val="16"/>
        </w:rPr>
      </w:pPr>
    </w:p>
    <w:p>
      <w:pPr>
        <w:pStyle w:val="BodyText"/>
        <w:rPr>
          <w:rFonts w:ascii="Times New Roman"/>
          <w:sz w:val="16"/>
        </w:rPr>
      </w:pPr>
    </w:p>
    <w:p>
      <w:pPr>
        <w:pStyle w:val="BodyText"/>
        <w:spacing w:before="7"/>
        <w:rPr>
          <w:rFonts w:ascii="Times New Roman"/>
          <w:sz w:val="23"/>
        </w:rPr>
      </w:pPr>
    </w:p>
    <w:p>
      <w:pPr>
        <w:spacing w:line="310" w:lineRule="atLeast" w:before="1"/>
        <w:ind w:left="815" w:right="1233" w:firstLine="0"/>
        <w:jc w:val="center"/>
        <w:rPr>
          <w:rFonts w:ascii="Arial"/>
          <w:sz w:val="15"/>
        </w:rPr>
      </w:pPr>
      <w:r>
        <w:rPr>
          <w:rFonts w:ascii="Arial"/>
          <w:sz w:val="15"/>
        </w:rPr>
        <w:t>Las Olas  Centre   450  East Las Olas Boulevard,  Suite 1400   Fort Lauderdale, FL 33301   </w:t>
      </w:r>
      <w:r>
        <w:rPr>
          <w:rFonts w:ascii="Times New Roman"/>
          <w:b/>
          <w:sz w:val="15"/>
        </w:rPr>
        <w:t>p  </w:t>
      </w:r>
      <w:r>
        <w:rPr>
          <w:rFonts w:ascii="Arial"/>
          <w:sz w:val="15"/>
        </w:rPr>
        <w:t>954-462-2000   </w:t>
      </w:r>
      <w:r>
        <w:rPr>
          <w:rFonts w:ascii="Arial"/>
          <w:b/>
          <w:sz w:val="14"/>
        </w:rPr>
        <w:t>f  </w:t>
      </w:r>
      <w:r>
        <w:rPr>
          <w:rFonts w:ascii="Arial"/>
          <w:sz w:val="15"/>
        </w:rPr>
        <w:t>954-523-1722    GUNSTER.COM Boca Raton </w:t>
      </w:r>
      <w:r>
        <w:rPr>
          <w:rFonts w:ascii="Arial"/>
          <w:sz w:val="19"/>
        </w:rPr>
        <w:t>I </w:t>
      </w:r>
      <w:r>
        <w:rPr>
          <w:rFonts w:ascii="Arial"/>
          <w:sz w:val="15"/>
        </w:rPr>
        <w:t>Fort Lauderdale </w:t>
      </w:r>
      <w:r>
        <w:rPr>
          <w:rFonts w:ascii="Arial"/>
          <w:sz w:val="19"/>
        </w:rPr>
        <w:t>I </w:t>
      </w:r>
      <w:r>
        <w:rPr>
          <w:rFonts w:ascii="Arial"/>
          <w:sz w:val="15"/>
        </w:rPr>
        <w:t>Jacksonville </w:t>
      </w:r>
      <w:r>
        <w:rPr>
          <w:rFonts w:ascii="Arial"/>
          <w:sz w:val="19"/>
        </w:rPr>
        <w:t>I </w:t>
      </w:r>
      <w:r>
        <w:rPr>
          <w:rFonts w:ascii="Arial"/>
          <w:sz w:val="15"/>
        </w:rPr>
        <w:t>Miami </w:t>
      </w:r>
      <w:r>
        <w:rPr>
          <w:rFonts w:ascii="Arial"/>
          <w:sz w:val="19"/>
        </w:rPr>
        <w:t>I </w:t>
      </w:r>
      <w:r>
        <w:rPr>
          <w:rFonts w:ascii="Arial"/>
          <w:sz w:val="15"/>
        </w:rPr>
        <w:t>Orlando </w:t>
      </w:r>
      <w:r>
        <w:rPr>
          <w:rFonts w:ascii="Arial"/>
          <w:sz w:val="19"/>
        </w:rPr>
        <w:t>I </w:t>
      </w:r>
      <w:r>
        <w:rPr>
          <w:rFonts w:ascii="Arial"/>
          <w:sz w:val="15"/>
        </w:rPr>
        <w:t>Palm Beach </w:t>
      </w:r>
      <w:r>
        <w:rPr>
          <w:rFonts w:ascii="Arial"/>
          <w:sz w:val="19"/>
        </w:rPr>
        <w:t>I </w:t>
      </w:r>
      <w:r>
        <w:rPr>
          <w:rFonts w:ascii="Arial"/>
          <w:sz w:val="15"/>
        </w:rPr>
        <w:t>Stuart </w:t>
      </w:r>
      <w:r>
        <w:rPr>
          <w:rFonts w:ascii="Arial"/>
          <w:sz w:val="19"/>
        </w:rPr>
        <w:t>I</w:t>
      </w:r>
      <w:r>
        <w:rPr>
          <w:rFonts w:ascii="Arial"/>
          <w:spacing w:val="-34"/>
          <w:sz w:val="19"/>
        </w:rPr>
        <w:t> </w:t>
      </w:r>
      <w:r>
        <w:rPr>
          <w:rFonts w:ascii="Arial"/>
          <w:sz w:val="15"/>
        </w:rPr>
        <w:t>Tallahassee</w:t>
      </w:r>
    </w:p>
    <w:p>
      <w:pPr>
        <w:spacing w:line="202" w:lineRule="exact" w:before="0"/>
        <w:ind w:left="815" w:right="1223" w:firstLine="0"/>
        <w:jc w:val="center"/>
        <w:rPr>
          <w:rFonts w:ascii="Arial"/>
          <w:sz w:val="15"/>
        </w:rPr>
      </w:pPr>
      <w:r>
        <w:rPr>
          <w:rFonts w:ascii="Arial"/>
          <w:w w:val="105"/>
          <w:sz w:val="15"/>
        </w:rPr>
        <w:t>Tampa </w:t>
      </w:r>
      <w:r>
        <w:rPr>
          <w:rFonts w:ascii="Arial"/>
          <w:w w:val="105"/>
          <w:sz w:val="19"/>
        </w:rPr>
        <w:t>I </w:t>
      </w:r>
      <w:r>
        <w:rPr>
          <w:rFonts w:ascii="Arial"/>
          <w:w w:val="105"/>
          <w:sz w:val="15"/>
        </w:rPr>
        <w:t>The Florida Keys </w:t>
      </w:r>
      <w:r>
        <w:rPr>
          <w:rFonts w:ascii="Arial"/>
          <w:w w:val="105"/>
          <w:sz w:val="19"/>
        </w:rPr>
        <w:t>I </w:t>
      </w:r>
      <w:r>
        <w:rPr>
          <w:rFonts w:ascii="Arial"/>
          <w:w w:val="105"/>
          <w:sz w:val="15"/>
        </w:rPr>
        <w:t>Vero Beach </w:t>
      </w:r>
      <w:r>
        <w:rPr>
          <w:rFonts w:ascii="Arial"/>
          <w:w w:val="105"/>
          <w:sz w:val="19"/>
        </w:rPr>
        <w:t>I </w:t>
      </w:r>
      <w:r>
        <w:rPr>
          <w:rFonts w:ascii="Arial"/>
          <w:w w:val="105"/>
          <w:sz w:val="15"/>
        </w:rPr>
        <w:t>West Palm Beach </w:t>
      </w:r>
      <w:r>
        <w:rPr>
          <w:rFonts w:ascii="Arial"/>
          <w:w w:val="105"/>
          <w:sz w:val="19"/>
        </w:rPr>
        <w:t>I </w:t>
      </w:r>
      <w:r>
        <w:rPr>
          <w:rFonts w:ascii="Arial"/>
          <w:w w:val="105"/>
          <w:sz w:val="15"/>
        </w:rPr>
        <w:t>Winter Park</w:t>
      </w:r>
    </w:p>
    <w:p>
      <w:pPr>
        <w:spacing w:after="0" w:line="202" w:lineRule="exact"/>
        <w:jc w:val="center"/>
        <w:rPr>
          <w:rFonts w:ascii="Arial"/>
          <w:sz w:val="15"/>
        </w:rPr>
        <w:sectPr>
          <w:type w:val="continuous"/>
          <w:pgSz w:w="12240" w:h="15840"/>
          <w:pgMar w:top="740" w:bottom="0" w:left="460" w:right="20"/>
        </w:sectPr>
      </w:pPr>
    </w:p>
    <w:p>
      <w:pPr>
        <w:spacing w:line="252" w:lineRule="auto" w:before="65"/>
        <w:ind w:left="991" w:right="7338" w:hanging="4"/>
        <w:jc w:val="left"/>
        <w:rPr>
          <w:rFonts w:ascii="Times New Roman"/>
          <w:sz w:val="23"/>
        </w:rPr>
      </w:pPr>
      <w:r>
        <w:rPr>
          <w:rFonts w:ascii="Times New Roman"/>
          <w:w w:val="105"/>
          <w:sz w:val="23"/>
        </w:rPr>
        <w:t>Ms. Maggie Barszewski, AICP June 24, 2021</w:t>
      </w:r>
    </w:p>
    <w:p>
      <w:pPr>
        <w:spacing w:line="262" w:lineRule="exact" w:before="0"/>
        <w:ind w:left="992" w:right="0" w:firstLine="0"/>
        <w:jc w:val="left"/>
        <w:rPr>
          <w:rFonts w:ascii="Times New Roman"/>
          <w:sz w:val="22"/>
        </w:rPr>
      </w:pPr>
      <w:r>
        <w:rPr>
          <w:rFonts w:ascii="Times New Roman"/>
          <w:w w:val="105"/>
          <w:sz w:val="23"/>
        </w:rPr>
        <w:t>Page </w:t>
      </w:r>
      <w:r>
        <w:rPr>
          <w:rFonts w:ascii="Times New Roman"/>
          <w:w w:val="105"/>
          <w:sz w:val="22"/>
        </w:rPr>
        <w:t>2</w:t>
      </w:r>
    </w:p>
    <w:p>
      <w:pPr>
        <w:pStyle w:val="BodyText"/>
        <w:rPr>
          <w:rFonts w:ascii="Times New Roman"/>
          <w:sz w:val="26"/>
        </w:rPr>
      </w:pPr>
    </w:p>
    <w:p>
      <w:pPr>
        <w:pStyle w:val="BodyText"/>
        <w:spacing w:before="8"/>
        <w:rPr>
          <w:rFonts w:ascii="Times New Roman"/>
          <w:sz w:val="23"/>
        </w:rPr>
      </w:pPr>
    </w:p>
    <w:p>
      <w:pPr>
        <w:spacing w:line="249" w:lineRule="auto" w:before="0"/>
        <w:ind w:left="984" w:right="1477" w:firstLine="715"/>
        <w:jc w:val="both"/>
        <w:rPr>
          <w:rFonts w:ascii="Times New Roman"/>
          <w:sz w:val="23"/>
        </w:rPr>
      </w:pPr>
      <w:r>
        <w:rPr>
          <w:rFonts w:ascii="Times New Roman"/>
          <w:w w:val="105"/>
          <w:sz w:val="23"/>
        </w:rPr>
        <w:t>Proposed development</w:t>
      </w:r>
      <w:r>
        <w:rPr>
          <w:rFonts w:ascii="Times New Roman"/>
          <w:spacing w:val="-1"/>
          <w:w w:val="105"/>
          <w:sz w:val="23"/>
        </w:rPr>
        <w:t> </w:t>
      </w:r>
      <w:r>
        <w:rPr>
          <w:rFonts w:ascii="Times New Roman"/>
          <w:w w:val="105"/>
          <w:sz w:val="23"/>
        </w:rPr>
        <w:t>of</w:t>
      </w:r>
      <w:r>
        <w:rPr>
          <w:rFonts w:ascii="Times New Roman"/>
          <w:spacing w:val="-16"/>
          <w:w w:val="105"/>
          <w:sz w:val="23"/>
        </w:rPr>
        <w:t> </w:t>
      </w:r>
      <w:r>
        <w:rPr>
          <w:rFonts w:ascii="Times New Roman"/>
          <w:w w:val="105"/>
          <w:sz w:val="23"/>
        </w:rPr>
        <w:t>the</w:t>
      </w:r>
      <w:r>
        <w:rPr>
          <w:rFonts w:ascii="Times New Roman"/>
          <w:spacing w:val="-13"/>
          <w:w w:val="105"/>
          <w:sz w:val="23"/>
        </w:rPr>
        <w:t> </w:t>
      </w:r>
      <w:r>
        <w:rPr>
          <w:rFonts w:ascii="Times New Roman"/>
          <w:w w:val="105"/>
          <w:sz w:val="23"/>
        </w:rPr>
        <w:t>site</w:t>
      </w:r>
      <w:r>
        <w:rPr>
          <w:rFonts w:ascii="Times New Roman"/>
          <w:spacing w:val="-11"/>
          <w:w w:val="105"/>
          <w:sz w:val="23"/>
        </w:rPr>
        <w:t> </w:t>
      </w:r>
      <w:r>
        <w:rPr>
          <w:rFonts w:ascii="Times New Roman"/>
          <w:w w:val="105"/>
          <w:sz w:val="23"/>
        </w:rPr>
        <w:t>will</w:t>
      </w:r>
      <w:r>
        <w:rPr>
          <w:rFonts w:ascii="Times New Roman"/>
          <w:spacing w:val="-6"/>
          <w:w w:val="105"/>
          <w:sz w:val="23"/>
        </w:rPr>
        <w:t> </w:t>
      </w:r>
      <w:r>
        <w:rPr>
          <w:rFonts w:ascii="Times New Roman"/>
          <w:w w:val="105"/>
          <w:sz w:val="23"/>
        </w:rPr>
        <w:t>be</w:t>
      </w:r>
      <w:r>
        <w:rPr>
          <w:rFonts w:ascii="Times New Roman"/>
          <w:spacing w:val="-14"/>
          <w:w w:val="105"/>
          <w:sz w:val="23"/>
        </w:rPr>
        <w:t> </w:t>
      </w:r>
      <w:r>
        <w:rPr>
          <w:rFonts w:ascii="Times New Roman"/>
          <w:w w:val="105"/>
          <w:sz w:val="23"/>
        </w:rPr>
        <w:t>subject</w:t>
      </w:r>
      <w:r>
        <w:rPr>
          <w:rFonts w:ascii="Times New Roman"/>
          <w:spacing w:val="-3"/>
          <w:w w:val="105"/>
          <w:sz w:val="23"/>
        </w:rPr>
        <w:t> </w:t>
      </w:r>
      <w:r>
        <w:rPr>
          <w:rFonts w:ascii="Times New Roman"/>
          <w:w w:val="105"/>
          <w:sz w:val="23"/>
        </w:rPr>
        <w:t>to</w:t>
      </w:r>
      <w:r>
        <w:rPr>
          <w:rFonts w:ascii="Times New Roman"/>
          <w:spacing w:val="-11"/>
          <w:w w:val="105"/>
          <w:sz w:val="23"/>
        </w:rPr>
        <w:t> </w:t>
      </w:r>
      <w:r>
        <w:rPr>
          <w:rFonts w:ascii="Times New Roman"/>
          <w:w w:val="105"/>
          <w:sz w:val="23"/>
        </w:rPr>
        <w:t>the</w:t>
      </w:r>
      <w:r>
        <w:rPr>
          <w:rFonts w:ascii="Times New Roman"/>
          <w:spacing w:val="-9"/>
          <w:w w:val="105"/>
          <w:sz w:val="23"/>
        </w:rPr>
        <w:t> </w:t>
      </w:r>
      <w:r>
        <w:rPr>
          <w:rFonts w:ascii="Times New Roman"/>
          <w:w w:val="105"/>
          <w:sz w:val="23"/>
        </w:rPr>
        <w:t>regulations</w:t>
      </w:r>
      <w:r>
        <w:rPr>
          <w:rFonts w:ascii="Times New Roman"/>
          <w:spacing w:val="4"/>
          <w:w w:val="105"/>
          <w:sz w:val="23"/>
        </w:rPr>
        <w:t> </w:t>
      </w:r>
      <w:r>
        <w:rPr>
          <w:rFonts w:ascii="Times New Roman"/>
          <w:w w:val="105"/>
          <w:sz w:val="23"/>
        </w:rPr>
        <w:t>contained</w:t>
      </w:r>
      <w:r>
        <w:rPr>
          <w:rFonts w:ascii="Times New Roman"/>
          <w:spacing w:val="1"/>
          <w:w w:val="105"/>
          <w:sz w:val="23"/>
        </w:rPr>
        <w:t> </w:t>
      </w:r>
      <w:r>
        <w:rPr>
          <w:rFonts w:ascii="Times New Roman"/>
          <w:w w:val="105"/>
          <w:sz w:val="23"/>
        </w:rPr>
        <w:t>in</w:t>
      </w:r>
      <w:r>
        <w:rPr>
          <w:rFonts w:ascii="Times New Roman"/>
          <w:spacing w:val="-18"/>
          <w:w w:val="105"/>
          <w:sz w:val="23"/>
        </w:rPr>
        <w:t> </w:t>
      </w:r>
      <w:r>
        <w:rPr>
          <w:rFonts w:ascii="Times New Roman"/>
          <w:w w:val="105"/>
          <w:sz w:val="23"/>
        </w:rPr>
        <w:t>the</w:t>
      </w:r>
      <w:r>
        <w:rPr>
          <w:rFonts w:ascii="Times New Roman"/>
          <w:spacing w:val="-11"/>
          <w:w w:val="105"/>
          <w:sz w:val="23"/>
        </w:rPr>
        <w:t> </w:t>
      </w:r>
      <w:r>
        <w:rPr>
          <w:rFonts w:ascii="Times New Roman"/>
          <w:b/>
          <w:i/>
          <w:w w:val="105"/>
          <w:sz w:val="23"/>
        </w:rPr>
        <w:t>City's </w:t>
      </w:r>
      <w:r>
        <w:rPr>
          <w:rFonts w:ascii="Times New Roman"/>
          <w:b/>
          <w:i/>
          <w:w w:val="105"/>
          <w:sz w:val="23"/>
        </w:rPr>
        <w:t>Zoning</w:t>
      </w:r>
      <w:r>
        <w:rPr>
          <w:rFonts w:ascii="Times New Roman"/>
          <w:b/>
          <w:i/>
          <w:spacing w:val="-8"/>
          <w:w w:val="105"/>
          <w:sz w:val="23"/>
        </w:rPr>
        <w:t> </w:t>
      </w:r>
      <w:r>
        <w:rPr>
          <w:rFonts w:ascii="Times New Roman"/>
          <w:b/>
          <w:i/>
          <w:w w:val="105"/>
          <w:sz w:val="23"/>
        </w:rPr>
        <w:t>Code,</w:t>
      </w:r>
      <w:r>
        <w:rPr>
          <w:rFonts w:ascii="Times New Roman"/>
          <w:b/>
          <w:i/>
          <w:spacing w:val="-6"/>
          <w:w w:val="105"/>
          <w:sz w:val="23"/>
        </w:rPr>
        <w:t> </w:t>
      </w:r>
      <w:r>
        <w:rPr>
          <w:rFonts w:ascii="Times New Roman"/>
          <w:b/>
          <w:i/>
          <w:w w:val="105"/>
          <w:sz w:val="23"/>
        </w:rPr>
        <w:t>Section</w:t>
      </w:r>
      <w:r>
        <w:rPr>
          <w:rFonts w:ascii="Times New Roman"/>
          <w:b/>
          <w:i/>
          <w:spacing w:val="-2"/>
          <w:w w:val="105"/>
          <w:sz w:val="23"/>
        </w:rPr>
        <w:t> </w:t>
      </w:r>
      <w:r>
        <w:rPr>
          <w:rFonts w:ascii="Times New Roman"/>
          <w:b/>
          <w:i/>
          <w:w w:val="105"/>
          <w:sz w:val="23"/>
        </w:rPr>
        <w:t>155.5603 Industrial</w:t>
      </w:r>
      <w:r>
        <w:rPr>
          <w:rFonts w:ascii="Times New Roman"/>
          <w:b/>
          <w:i/>
          <w:spacing w:val="-4"/>
          <w:w w:val="105"/>
          <w:sz w:val="23"/>
        </w:rPr>
        <w:t> </w:t>
      </w:r>
      <w:r>
        <w:rPr>
          <w:rFonts w:ascii="Times New Roman"/>
          <w:b/>
          <w:i/>
          <w:w w:val="105"/>
          <w:sz w:val="23"/>
        </w:rPr>
        <w:t>Design</w:t>
      </w:r>
      <w:r>
        <w:rPr>
          <w:rFonts w:ascii="Times New Roman"/>
          <w:b/>
          <w:i/>
          <w:spacing w:val="-4"/>
          <w:w w:val="105"/>
          <w:sz w:val="23"/>
        </w:rPr>
        <w:t> </w:t>
      </w:r>
      <w:r>
        <w:rPr>
          <w:rFonts w:ascii="Times New Roman"/>
          <w:b/>
          <w:i/>
          <w:w w:val="105"/>
          <w:sz w:val="23"/>
        </w:rPr>
        <w:t>Standards,</w:t>
      </w:r>
      <w:r>
        <w:rPr>
          <w:rFonts w:ascii="Times New Roman"/>
          <w:b/>
          <w:i/>
          <w:spacing w:val="-4"/>
          <w:w w:val="105"/>
          <w:sz w:val="23"/>
        </w:rPr>
        <w:t> </w:t>
      </w:r>
      <w:r>
        <w:rPr>
          <w:rFonts w:ascii="Times New Roman"/>
          <w:w w:val="105"/>
          <w:sz w:val="23"/>
        </w:rPr>
        <w:t>the</w:t>
      </w:r>
      <w:r>
        <w:rPr>
          <w:rFonts w:ascii="Times New Roman"/>
          <w:spacing w:val="-17"/>
          <w:w w:val="105"/>
          <w:sz w:val="23"/>
        </w:rPr>
        <w:t> </w:t>
      </w:r>
      <w:r>
        <w:rPr>
          <w:rFonts w:ascii="Times New Roman"/>
          <w:w w:val="105"/>
          <w:sz w:val="23"/>
        </w:rPr>
        <w:t>focus</w:t>
      </w:r>
      <w:r>
        <w:rPr>
          <w:rFonts w:ascii="Times New Roman"/>
          <w:spacing w:val="-9"/>
          <w:w w:val="105"/>
          <w:sz w:val="23"/>
        </w:rPr>
        <w:t> </w:t>
      </w:r>
      <w:r>
        <w:rPr>
          <w:rFonts w:ascii="Times New Roman"/>
          <w:w w:val="105"/>
          <w:sz w:val="23"/>
        </w:rPr>
        <w:t>of</w:t>
      </w:r>
      <w:r>
        <w:rPr>
          <w:rFonts w:ascii="Times New Roman"/>
          <w:spacing w:val="-10"/>
          <w:w w:val="105"/>
          <w:sz w:val="23"/>
        </w:rPr>
        <w:t> </w:t>
      </w:r>
      <w:r>
        <w:rPr>
          <w:rFonts w:ascii="Times New Roman"/>
          <w:w w:val="105"/>
          <w:sz w:val="23"/>
        </w:rPr>
        <w:t>which</w:t>
      </w:r>
      <w:r>
        <w:rPr>
          <w:rFonts w:ascii="Times New Roman"/>
          <w:spacing w:val="-13"/>
          <w:w w:val="105"/>
          <w:sz w:val="23"/>
        </w:rPr>
        <w:t> </w:t>
      </w:r>
      <w:r>
        <w:rPr>
          <w:rFonts w:ascii="Times New Roman"/>
          <w:w w:val="105"/>
          <w:sz w:val="23"/>
        </w:rPr>
        <w:t>is</w:t>
      </w:r>
      <w:r>
        <w:rPr>
          <w:rFonts w:ascii="Times New Roman"/>
          <w:spacing w:val="-20"/>
          <w:w w:val="105"/>
          <w:sz w:val="23"/>
        </w:rPr>
        <w:t> </w:t>
      </w:r>
      <w:r>
        <w:rPr>
          <w:rFonts w:ascii="Times New Roman"/>
          <w:w w:val="105"/>
          <w:sz w:val="23"/>
        </w:rPr>
        <w:t>to</w:t>
      </w:r>
      <w:r>
        <w:rPr>
          <w:rFonts w:ascii="Times New Roman"/>
          <w:spacing w:val="-14"/>
          <w:w w:val="105"/>
          <w:sz w:val="23"/>
        </w:rPr>
        <w:t> </w:t>
      </w:r>
      <w:r>
        <w:rPr>
          <w:rFonts w:ascii="Times New Roman"/>
          <w:w w:val="105"/>
          <w:sz w:val="23"/>
        </w:rPr>
        <w:t>minimize potential negative impacts on adjacent land uses and improve the appearance of industrial development in the</w:t>
      </w:r>
      <w:r>
        <w:rPr>
          <w:rFonts w:ascii="Times New Roman"/>
          <w:spacing w:val="15"/>
          <w:w w:val="105"/>
          <w:sz w:val="23"/>
        </w:rPr>
        <w:t> </w:t>
      </w:r>
      <w:r>
        <w:rPr>
          <w:rFonts w:ascii="Times New Roman"/>
          <w:w w:val="105"/>
          <w:sz w:val="23"/>
        </w:rPr>
        <w:t>City.</w:t>
      </w:r>
    </w:p>
    <w:p>
      <w:pPr>
        <w:pStyle w:val="BodyText"/>
        <w:spacing w:before="1"/>
        <w:rPr>
          <w:rFonts w:ascii="Times New Roman"/>
          <w:sz w:val="25"/>
        </w:rPr>
      </w:pPr>
    </w:p>
    <w:p>
      <w:pPr>
        <w:spacing w:line="249" w:lineRule="auto" w:before="0"/>
        <w:ind w:left="982" w:right="1476" w:firstLine="709"/>
        <w:jc w:val="both"/>
        <w:rPr>
          <w:rFonts w:ascii="Times New Roman"/>
          <w:sz w:val="23"/>
        </w:rPr>
      </w:pPr>
      <w:r>
        <w:rPr>
          <w:rFonts w:ascii="Times New Roman"/>
          <w:w w:val="105"/>
          <w:sz w:val="23"/>
        </w:rPr>
        <w:t>The</w:t>
      </w:r>
      <w:r>
        <w:rPr>
          <w:rFonts w:ascii="Times New Roman"/>
          <w:spacing w:val="-10"/>
          <w:w w:val="105"/>
          <w:sz w:val="23"/>
        </w:rPr>
        <w:t> </w:t>
      </w:r>
      <w:r>
        <w:rPr>
          <w:rFonts w:ascii="Times New Roman"/>
          <w:w w:val="105"/>
          <w:sz w:val="23"/>
        </w:rPr>
        <w:t>City</w:t>
      </w:r>
      <w:r>
        <w:rPr>
          <w:rFonts w:ascii="Times New Roman"/>
          <w:spacing w:val="-6"/>
          <w:w w:val="105"/>
          <w:sz w:val="23"/>
        </w:rPr>
        <w:t> </w:t>
      </w:r>
      <w:r>
        <w:rPr>
          <w:rFonts w:ascii="Times New Roman"/>
          <w:w w:val="105"/>
          <w:sz w:val="23"/>
        </w:rPr>
        <w:t>of</w:t>
      </w:r>
      <w:r>
        <w:rPr>
          <w:rFonts w:ascii="Times New Roman"/>
          <w:spacing w:val="-14"/>
          <w:w w:val="105"/>
          <w:sz w:val="23"/>
        </w:rPr>
        <w:t> </w:t>
      </w:r>
      <w:r>
        <w:rPr>
          <w:rFonts w:ascii="Times New Roman"/>
          <w:w w:val="105"/>
          <w:sz w:val="23"/>
        </w:rPr>
        <w:t>Pompano</w:t>
      </w:r>
      <w:r>
        <w:rPr>
          <w:rFonts w:ascii="Times New Roman"/>
          <w:spacing w:val="-8"/>
          <w:w w:val="105"/>
          <w:sz w:val="23"/>
        </w:rPr>
        <w:t> </w:t>
      </w:r>
      <w:r>
        <w:rPr>
          <w:rFonts w:ascii="Times New Roman"/>
          <w:w w:val="105"/>
          <w:sz w:val="23"/>
        </w:rPr>
        <w:t>Beach's</w:t>
      </w:r>
      <w:r>
        <w:rPr>
          <w:rFonts w:ascii="Times New Roman"/>
          <w:spacing w:val="-6"/>
          <w:w w:val="105"/>
          <w:sz w:val="23"/>
        </w:rPr>
        <w:t> </w:t>
      </w:r>
      <w:r>
        <w:rPr>
          <w:rFonts w:ascii="Times New Roman"/>
          <w:w w:val="105"/>
          <w:sz w:val="23"/>
        </w:rPr>
        <w:t>adopted</w:t>
      </w:r>
      <w:r>
        <w:rPr>
          <w:rFonts w:ascii="Times New Roman"/>
          <w:spacing w:val="-3"/>
          <w:w w:val="105"/>
          <w:sz w:val="23"/>
        </w:rPr>
        <w:t> </w:t>
      </w:r>
      <w:r>
        <w:rPr>
          <w:rFonts w:ascii="Times New Roman"/>
          <w:w w:val="105"/>
          <w:sz w:val="23"/>
        </w:rPr>
        <w:t>Future</w:t>
      </w:r>
      <w:r>
        <w:rPr>
          <w:rFonts w:ascii="Times New Roman"/>
          <w:spacing w:val="-8"/>
          <w:w w:val="105"/>
          <w:sz w:val="23"/>
        </w:rPr>
        <w:t> </w:t>
      </w:r>
      <w:r>
        <w:rPr>
          <w:rFonts w:ascii="Times New Roman"/>
          <w:w w:val="105"/>
          <w:sz w:val="23"/>
        </w:rPr>
        <w:t>Land</w:t>
      </w:r>
      <w:r>
        <w:rPr>
          <w:rFonts w:ascii="Times New Roman"/>
          <w:spacing w:val="-9"/>
          <w:w w:val="105"/>
          <w:sz w:val="23"/>
        </w:rPr>
        <w:t> </w:t>
      </w:r>
      <w:r>
        <w:rPr>
          <w:rFonts w:ascii="Times New Roman"/>
          <w:w w:val="105"/>
          <w:sz w:val="23"/>
        </w:rPr>
        <w:t>Use</w:t>
      </w:r>
      <w:r>
        <w:rPr>
          <w:rFonts w:ascii="Times New Roman"/>
          <w:spacing w:val="-13"/>
          <w:w w:val="105"/>
          <w:sz w:val="23"/>
        </w:rPr>
        <w:t> </w:t>
      </w:r>
      <w:r>
        <w:rPr>
          <w:rFonts w:ascii="Times New Roman"/>
          <w:w w:val="105"/>
          <w:sz w:val="23"/>
        </w:rPr>
        <w:t>Map</w:t>
      </w:r>
      <w:r>
        <w:rPr>
          <w:rFonts w:ascii="Times New Roman"/>
          <w:spacing w:val="-9"/>
          <w:w w:val="105"/>
          <w:sz w:val="23"/>
        </w:rPr>
        <w:t> </w:t>
      </w:r>
      <w:r>
        <w:rPr>
          <w:rFonts w:ascii="Times New Roman"/>
          <w:w w:val="105"/>
          <w:sz w:val="23"/>
        </w:rPr>
        <w:t>designation</w:t>
      </w:r>
      <w:r>
        <w:rPr>
          <w:rFonts w:ascii="Times New Roman"/>
          <w:spacing w:val="-5"/>
          <w:w w:val="105"/>
          <w:sz w:val="23"/>
        </w:rPr>
        <w:t> </w:t>
      </w:r>
      <w:r>
        <w:rPr>
          <w:rFonts w:ascii="Times New Roman"/>
          <w:w w:val="105"/>
          <w:sz w:val="23"/>
        </w:rPr>
        <w:t>for</w:t>
      </w:r>
      <w:r>
        <w:rPr>
          <w:rFonts w:ascii="Times New Roman"/>
          <w:spacing w:val="-16"/>
          <w:w w:val="105"/>
          <w:sz w:val="23"/>
        </w:rPr>
        <w:t> </w:t>
      </w:r>
      <w:r>
        <w:rPr>
          <w:rFonts w:ascii="Times New Roman"/>
          <w:w w:val="105"/>
          <w:sz w:val="23"/>
        </w:rPr>
        <w:t>the</w:t>
      </w:r>
      <w:r>
        <w:rPr>
          <w:rFonts w:ascii="Times New Roman"/>
          <w:spacing w:val="-14"/>
          <w:w w:val="105"/>
          <w:sz w:val="23"/>
        </w:rPr>
        <w:t> </w:t>
      </w:r>
      <w:r>
        <w:rPr>
          <w:rFonts w:ascii="Times New Roman"/>
          <w:w w:val="105"/>
          <w:sz w:val="23"/>
        </w:rPr>
        <w:t>Property is</w:t>
      </w:r>
      <w:r>
        <w:rPr>
          <w:rFonts w:ascii="Times New Roman"/>
          <w:spacing w:val="-17"/>
          <w:w w:val="105"/>
          <w:sz w:val="23"/>
        </w:rPr>
        <w:t> </w:t>
      </w:r>
      <w:r>
        <w:rPr>
          <w:rFonts w:ascii="Times New Roman"/>
          <w:w w:val="105"/>
          <w:sz w:val="23"/>
        </w:rPr>
        <w:t>CF</w:t>
      </w:r>
      <w:r>
        <w:rPr>
          <w:rFonts w:ascii="Times New Roman"/>
          <w:spacing w:val="-16"/>
          <w:w w:val="105"/>
          <w:sz w:val="23"/>
        </w:rPr>
        <w:t> </w:t>
      </w:r>
      <w:r>
        <w:rPr>
          <w:rFonts w:ascii="Times New Roman"/>
          <w:w w:val="105"/>
          <w:sz w:val="23"/>
        </w:rPr>
        <w:t>(Community</w:t>
      </w:r>
      <w:r>
        <w:rPr>
          <w:rFonts w:ascii="Times New Roman"/>
          <w:spacing w:val="5"/>
          <w:w w:val="105"/>
          <w:sz w:val="23"/>
        </w:rPr>
        <w:t> </w:t>
      </w:r>
      <w:r>
        <w:rPr>
          <w:rFonts w:ascii="Times New Roman"/>
          <w:w w:val="105"/>
          <w:sz w:val="23"/>
        </w:rPr>
        <w:t>Facility).</w:t>
      </w:r>
      <w:r>
        <w:rPr>
          <w:rFonts w:ascii="Times New Roman"/>
          <w:spacing w:val="-17"/>
          <w:w w:val="105"/>
          <w:sz w:val="23"/>
        </w:rPr>
        <w:t> </w:t>
      </w:r>
      <w:r>
        <w:rPr>
          <w:rFonts w:ascii="Arial"/>
          <w:w w:val="105"/>
          <w:sz w:val="23"/>
        </w:rPr>
        <w:t>It</w:t>
      </w:r>
      <w:r>
        <w:rPr>
          <w:rFonts w:ascii="Arial"/>
          <w:spacing w:val="2"/>
          <w:w w:val="105"/>
          <w:sz w:val="23"/>
        </w:rPr>
        <w:t> </w:t>
      </w:r>
      <w:r>
        <w:rPr>
          <w:rFonts w:ascii="Times New Roman"/>
          <w:w w:val="105"/>
          <w:sz w:val="23"/>
        </w:rPr>
        <w:t>is</w:t>
      </w:r>
      <w:r>
        <w:rPr>
          <w:rFonts w:ascii="Times New Roman"/>
          <w:spacing w:val="-20"/>
          <w:w w:val="105"/>
          <w:sz w:val="23"/>
        </w:rPr>
        <w:t> </w:t>
      </w:r>
      <w:r>
        <w:rPr>
          <w:rFonts w:ascii="Times New Roman"/>
          <w:w w:val="105"/>
          <w:sz w:val="23"/>
        </w:rPr>
        <w:t>designated</w:t>
      </w:r>
      <w:r>
        <w:rPr>
          <w:rFonts w:ascii="Times New Roman"/>
          <w:spacing w:val="-5"/>
          <w:w w:val="105"/>
          <w:sz w:val="23"/>
        </w:rPr>
        <w:t> </w:t>
      </w:r>
      <w:r>
        <w:rPr>
          <w:rFonts w:ascii="Times New Roman"/>
          <w:w w:val="105"/>
          <w:sz w:val="23"/>
        </w:rPr>
        <w:t>Recreation</w:t>
      </w:r>
      <w:r>
        <w:rPr>
          <w:rFonts w:ascii="Times New Roman"/>
          <w:spacing w:val="-1"/>
          <w:w w:val="105"/>
          <w:sz w:val="23"/>
        </w:rPr>
        <w:t> </w:t>
      </w:r>
      <w:r>
        <w:rPr>
          <w:rFonts w:ascii="Times New Roman"/>
          <w:w w:val="105"/>
          <w:sz w:val="23"/>
        </w:rPr>
        <w:t>and</w:t>
      </w:r>
      <w:r>
        <w:rPr>
          <w:rFonts w:ascii="Times New Roman"/>
          <w:spacing w:val="-10"/>
          <w:w w:val="105"/>
          <w:sz w:val="23"/>
        </w:rPr>
        <w:t> </w:t>
      </w:r>
      <w:r>
        <w:rPr>
          <w:rFonts w:ascii="Times New Roman"/>
          <w:w w:val="105"/>
          <w:sz w:val="23"/>
        </w:rPr>
        <w:t>Open</w:t>
      </w:r>
      <w:r>
        <w:rPr>
          <w:rFonts w:ascii="Times New Roman"/>
          <w:spacing w:val="-13"/>
          <w:w w:val="105"/>
          <w:sz w:val="23"/>
        </w:rPr>
        <w:t> </w:t>
      </w:r>
      <w:r>
        <w:rPr>
          <w:rFonts w:ascii="Times New Roman"/>
          <w:w w:val="105"/>
          <w:sz w:val="23"/>
        </w:rPr>
        <w:t>Space</w:t>
      </w:r>
      <w:r>
        <w:rPr>
          <w:rFonts w:ascii="Times New Roman"/>
          <w:spacing w:val="-10"/>
          <w:w w:val="105"/>
          <w:sz w:val="23"/>
        </w:rPr>
        <w:t> </w:t>
      </w:r>
      <w:r>
        <w:rPr>
          <w:rFonts w:ascii="Times New Roman"/>
          <w:w w:val="105"/>
          <w:sz w:val="23"/>
        </w:rPr>
        <w:t>on</w:t>
      </w:r>
      <w:r>
        <w:rPr>
          <w:rFonts w:ascii="Times New Roman"/>
          <w:spacing w:val="-21"/>
          <w:w w:val="105"/>
          <w:sz w:val="23"/>
        </w:rPr>
        <w:t> </w:t>
      </w:r>
      <w:r>
        <w:rPr>
          <w:rFonts w:ascii="Times New Roman"/>
          <w:w w:val="105"/>
          <w:sz w:val="23"/>
        </w:rPr>
        <w:t>the</w:t>
      </w:r>
      <w:r>
        <w:rPr>
          <w:rFonts w:ascii="Times New Roman"/>
          <w:spacing w:val="-17"/>
          <w:w w:val="105"/>
          <w:sz w:val="23"/>
        </w:rPr>
        <w:t> </w:t>
      </w:r>
      <w:r>
        <w:rPr>
          <w:rFonts w:ascii="Times New Roman"/>
          <w:w w:val="105"/>
          <w:sz w:val="23"/>
        </w:rPr>
        <w:t>County</w:t>
      </w:r>
      <w:r>
        <w:rPr>
          <w:rFonts w:ascii="Times New Roman"/>
          <w:spacing w:val="-12"/>
          <w:w w:val="105"/>
          <w:sz w:val="23"/>
        </w:rPr>
        <w:t> </w:t>
      </w:r>
      <w:r>
        <w:rPr>
          <w:rFonts w:ascii="Times New Roman"/>
          <w:w w:val="105"/>
          <w:sz w:val="23"/>
        </w:rPr>
        <w:t>Land</w:t>
      </w:r>
      <w:r>
        <w:rPr>
          <w:rFonts w:ascii="Times New Roman"/>
          <w:spacing w:val="-14"/>
          <w:w w:val="105"/>
          <w:sz w:val="23"/>
        </w:rPr>
        <w:t> </w:t>
      </w:r>
      <w:r>
        <w:rPr>
          <w:rFonts w:ascii="Times New Roman"/>
          <w:w w:val="105"/>
          <w:sz w:val="23"/>
        </w:rPr>
        <w:t>Use Plan.</w:t>
      </w:r>
      <w:r>
        <w:rPr>
          <w:rFonts w:ascii="Times New Roman"/>
          <w:spacing w:val="-9"/>
          <w:w w:val="105"/>
          <w:sz w:val="23"/>
        </w:rPr>
        <w:t> </w:t>
      </w:r>
      <w:r>
        <w:rPr>
          <w:rFonts w:ascii="Times New Roman"/>
          <w:w w:val="105"/>
          <w:sz w:val="23"/>
        </w:rPr>
        <w:t>A</w:t>
      </w:r>
      <w:r>
        <w:rPr>
          <w:rFonts w:ascii="Times New Roman"/>
          <w:spacing w:val="-17"/>
          <w:w w:val="105"/>
          <w:sz w:val="23"/>
        </w:rPr>
        <w:t> </w:t>
      </w:r>
      <w:r>
        <w:rPr>
          <w:rFonts w:ascii="Times New Roman"/>
          <w:w w:val="105"/>
          <w:sz w:val="23"/>
        </w:rPr>
        <w:t>concurrent</w:t>
      </w:r>
      <w:r>
        <w:rPr>
          <w:rFonts w:ascii="Times New Roman"/>
          <w:spacing w:val="1"/>
          <w:w w:val="105"/>
          <w:sz w:val="23"/>
        </w:rPr>
        <w:t> </w:t>
      </w:r>
      <w:r>
        <w:rPr>
          <w:rFonts w:ascii="Times New Roman"/>
          <w:w w:val="105"/>
          <w:sz w:val="23"/>
        </w:rPr>
        <w:t>Small-Scale</w:t>
      </w:r>
      <w:r>
        <w:rPr>
          <w:rFonts w:ascii="Times New Roman"/>
          <w:spacing w:val="5"/>
          <w:w w:val="105"/>
          <w:sz w:val="23"/>
        </w:rPr>
        <w:t> </w:t>
      </w:r>
      <w:r>
        <w:rPr>
          <w:rFonts w:ascii="Times New Roman"/>
          <w:w w:val="105"/>
          <w:sz w:val="23"/>
        </w:rPr>
        <w:t>Future</w:t>
      </w:r>
      <w:r>
        <w:rPr>
          <w:rFonts w:ascii="Times New Roman"/>
          <w:spacing w:val="-10"/>
          <w:w w:val="105"/>
          <w:sz w:val="23"/>
        </w:rPr>
        <w:t> </w:t>
      </w:r>
      <w:r>
        <w:rPr>
          <w:rFonts w:ascii="Times New Roman"/>
          <w:w w:val="105"/>
          <w:sz w:val="23"/>
        </w:rPr>
        <w:t>Land</w:t>
      </w:r>
      <w:r>
        <w:rPr>
          <w:rFonts w:ascii="Times New Roman"/>
          <w:spacing w:val="-9"/>
          <w:w w:val="105"/>
          <w:sz w:val="23"/>
        </w:rPr>
        <w:t> </w:t>
      </w:r>
      <w:r>
        <w:rPr>
          <w:rFonts w:ascii="Times New Roman"/>
          <w:w w:val="105"/>
          <w:sz w:val="23"/>
        </w:rPr>
        <w:t>Use</w:t>
      </w:r>
      <w:r>
        <w:rPr>
          <w:rFonts w:ascii="Times New Roman"/>
          <w:spacing w:val="-8"/>
          <w:w w:val="105"/>
          <w:sz w:val="23"/>
        </w:rPr>
        <w:t> </w:t>
      </w:r>
      <w:r>
        <w:rPr>
          <w:rFonts w:ascii="Times New Roman"/>
          <w:w w:val="105"/>
          <w:sz w:val="23"/>
        </w:rPr>
        <w:t>Map</w:t>
      </w:r>
      <w:r>
        <w:rPr>
          <w:rFonts w:ascii="Times New Roman"/>
          <w:spacing w:val="-9"/>
          <w:w w:val="105"/>
          <w:sz w:val="23"/>
        </w:rPr>
        <w:t> </w:t>
      </w:r>
      <w:r>
        <w:rPr>
          <w:rFonts w:ascii="Times New Roman"/>
          <w:w w:val="105"/>
          <w:sz w:val="23"/>
        </w:rPr>
        <w:t>amendment</w:t>
      </w:r>
      <w:r>
        <w:rPr>
          <w:rFonts w:ascii="Times New Roman"/>
          <w:spacing w:val="-1"/>
          <w:w w:val="105"/>
          <w:sz w:val="23"/>
        </w:rPr>
        <w:t> </w:t>
      </w:r>
      <w:r>
        <w:rPr>
          <w:rFonts w:ascii="Times New Roman"/>
          <w:w w:val="105"/>
          <w:sz w:val="23"/>
        </w:rPr>
        <w:t>is</w:t>
      </w:r>
      <w:r>
        <w:rPr>
          <w:rFonts w:ascii="Times New Roman"/>
          <w:spacing w:val="-11"/>
          <w:w w:val="105"/>
          <w:sz w:val="23"/>
        </w:rPr>
        <w:t> </w:t>
      </w:r>
      <w:r>
        <w:rPr>
          <w:rFonts w:ascii="Times New Roman"/>
          <w:w w:val="105"/>
          <w:sz w:val="23"/>
        </w:rPr>
        <w:t>being</w:t>
      </w:r>
      <w:r>
        <w:rPr>
          <w:rFonts w:ascii="Times New Roman"/>
          <w:spacing w:val="-6"/>
          <w:w w:val="105"/>
          <w:sz w:val="23"/>
        </w:rPr>
        <w:t> </w:t>
      </w:r>
      <w:r>
        <w:rPr>
          <w:rFonts w:ascii="Times New Roman"/>
          <w:w w:val="105"/>
          <w:sz w:val="23"/>
        </w:rPr>
        <w:t>processed</w:t>
      </w:r>
      <w:r>
        <w:rPr>
          <w:rFonts w:ascii="Times New Roman"/>
          <w:spacing w:val="-2"/>
          <w:w w:val="105"/>
          <w:sz w:val="23"/>
        </w:rPr>
        <w:t> </w:t>
      </w:r>
      <w:r>
        <w:rPr>
          <w:rFonts w:ascii="Times New Roman"/>
          <w:w w:val="105"/>
          <w:sz w:val="23"/>
        </w:rPr>
        <w:t>under</w:t>
      </w:r>
      <w:r>
        <w:rPr>
          <w:rFonts w:ascii="Times New Roman"/>
          <w:spacing w:val="-3"/>
          <w:w w:val="105"/>
          <w:sz w:val="23"/>
        </w:rPr>
        <w:t> </w:t>
      </w:r>
      <w:r>
        <w:rPr>
          <w:rFonts w:ascii="Times New Roman"/>
          <w:w w:val="105"/>
          <w:sz w:val="23"/>
        </w:rPr>
        <w:t>City PZ Case No. 20-92000004 to amend the City's future land use designation of the site from Community</w:t>
      </w:r>
      <w:r>
        <w:rPr>
          <w:rFonts w:ascii="Times New Roman"/>
          <w:spacing w:val="11"/>
          <w:w w:val="105"/>
          <w:sz w:val="23"/>
        </w:rPr>
        <w:t> </w:t>
      </w:r>
      <w:r>
        <w:rPr>
          <w:rFonts w:ascii="Times New Roman"/>
          <w:w w:val="105"/>
          <w:sz w:val="23"/>
        </w:rPr>
        <w:t>Facility</w:t>
      </w:r>
      <w:r>
        <w:rPr>
          <w:rFonts w:ascii="Times New Roman"/>
          <w:spacing w:val="-1"/>
          <w:w w:val="105"/>
          <w:sz w:val="23"/>
        </w:rPr>
        <w:t> </w:t>
      </w:r>
      <w:r>
        <w:rPr>
          <w:rFonts w:ascii="Times New Roman"/>
          <w:w w:val="105"/>
          <w:sz w:val="23"/>
        </w:rPr>
        <w:t>(CF)</w:t>
      </w:r>
      <w:r>
        <w:rPr>
          <w:rFonts w:ascii="Times New Roman"/>
          <w:spacing w:val="-11"/>
          <w:w w:val="105"/>
          <w:sz w:val="23"/>
        </w:rPr>
        <w:t> </w:t>
      </w:r>
      <w:r>
        <w:rPr>
          <w:rFonts w:ascii="Times New Roman"/>
          <w:w w:val="105"/>
          <w:sz w:val="23"/>
        </w:rPr>
        <w:t>to</w:t>
      </w:r>
      <w:r>
        <w:rPr>
          <w:rFonts w:ascii="Times New Roman"/>
          <w:spacing w:val="-16"/>
          <w:w w:val="105"/>
          <w:sz w:val="23"/>
        </w:rPr>
        <w:t> </w:t>
      </w:r>
      <w:r>
        <w:rPr>
          <w:rFonts w:ascii="Times New Roman"/>
          <w:w w:val="105"/>
          <w:sz w:val="23"/>
        </w:rPr>
        <w:t>Industrial</w:t>
      </w:r>
      <w:r>
        <w:rPr>
          <w:rFonts w:ascii="Times New Roman"/>
          <w:spacing w:val="-5"/>
          <w:w w:val="105"/>
          <w:sz w:val="23"/>
        </w:rPr>
        <w:t> </w:t>
      </w:r>
      <w:r>
        <w:rPr>
          <w:rFonts w:ascii="Times New Roman"/>
          <w:w w:val="105"/>
          <w:sz w:val="23"/>
        </w:rPr>
        <w:t>(I),</w:t>
      </w:r>
      <w:r>
        <w:rPr>
          <w:rFonts w:ascii="Times New Roman"/>
          <w:spacing w:val="-14"/>
          <w:w w:val="105"/>
          <w:sz w:val="23"/>
        </w:rPr>
        <w:t> </w:t>
      </w:r>
      <w:r>
        <w:rPr>
          <w:rFonts w:ascii="Times New Roman"/>
          <w:w w:val="105"/>
          <w:sz w:val="23"/>
        </w:rPr>
        <w:t>and</w:t>
      </w:r>
      <w:r>
        <w:rPr>
          <w:rFonts w:ascii="Times New Roman"/>
          <w:spacing w:val="-8"/>
          <w:w w:val="105"/>
          <w:sz w:val="23"/>
        </w:rPr>
        <w:t> </w:t>
      </w:r>
      <w:r>
        <w:rPr>
          <w:rFonts w:ascii="Times New Roman"/>
          <w:w w:val="105"/>
          <w:sz w:val="23"/>
        </w:rPr>
        <w:t>to</w:t>
      </w:r>
      <w:r>
        <w:rPr>
          <w:rFonts w:ascii="Times New Roman"/>
          <w:spacing w:val="-10"/>
          <w:w w:val="105"/>
          <w:sz w:val="23"/>
        </w:rPr>
        <w:t> </w:t>
      </w:r>
      <w:r>
        <w:rPr>
          <w:rFonts w:ascii="Times New Roman"/>
          <w:w w:val="105"/>
          <w:sz w:val="23"/>
        </w:rPr>
        <w:t>amend</w:t>
      </w:r>
      <w:r>
        <w:rPr>
          <w:rFonts w:ascii="Times New Roman"/>
          <w:spacing w:val="-6"/>
          <w:w w:val="105"/>
          <w:sz w:val="23"/>
        </w:rPr>
        <w:t> </w:t>
      </w:r>
      <w:r>
        <w:rPr>
          <w:rFonts w:ascii="Times New Roman"/>
          <w:w w:val="105"/>
          <w:sz w:val="23"/>
        </w:rPr>
        <w:t>the</w:t>
      </w:r>
      <w:r>
        <w:rPr>
          <w:rFonts w:ascii="Times New Roman"/>
          <w:spacing w:val="-12"/>
          <w:w w:val="105"/>
          <w:sz w:val="23"/>
        </w:rPr>
        <w:t> </w:t>
      </w:r>
      <w:r>
        <w:rPr>
          <w:rFonts w:ascii="Times New Roman"/>
          <w:w w:val="105"/>
          <w:sz w:val="23"/>
        </w:rPr>
        <w:t>County's</w:t>
      </w:r>
      <w:r>
        <w:rPr>
          <w:rFonts w:ascii="Times New Roman"/>
          <w:spacing w:val="-4"/>
          <w:w w:val="105"/>
          <w:sz w:val="23"/>
        </w:rPr>
        <w:t> </w:t>
      </w:r>
      <w:r>
        <w:rPr>
          <w:rFonts w:ascii="Times New Roman"/>
          <w:w w:val="105"/>
          <w:sz w:val="23"/>
        </w:rPr>
        <w:t>future</w:t>
      </w:r>
      <w:r>
        <w:rPr>
          <w:rFonts w:ascii="Times New Roman"/>
          <w:spacing w:val="-7"/>
          <w:w w:val="105"/>
          <w:sz w:val="23"/>
        </w:rPr>
        <w:t> </w:t>
      </w:r>
      <w:r>
        <w:rPr>
          <w:rFonts w:ascii="Times New Roman"/>
          <w:w w:val="105"/>
          <w:sz w:val="23"/>
        </w:rPr>
        <w:t>land</w:t>
      </w:r>
      <w:r>
        <w:rPr>
          <w:rFonts w:ascii="Times New Roman"/>
          <w:spacing w:val="-9"/>
          <w:w w:val="105"/>
          <w:sz w:val="23"/>
        </w:rPr>
        <w:t> </w:t>
      </w:r>
      <w:r>
        <w:rPr>
          <w:rFonts w:ascii="Times New Roman"/>
          <w:w w:val="105"/>
          <w:sz w:val="23"/>
        </w:rPr>
        <w:t>use</w:t>
      </w:r>
      <w:r>
        <w:rPr>
          <w:rFonts w:ascii="Times New Roman"/>
          <w:spacing w:val="-15"/>
          <w:w w:val="105"/>
          <w:sz w:val="23"/>
        </w:rPr>
        <w:t> </w:t>
      </w:r>
      <w:r>
        <w:rPr>
          <w:rFonts w:ascii="Times New Roman"/>
          <w:w w:val="105"/>
          <w:sz w:val="23"/>
        </w:rPr>
        <w:t>designation from Parks and Recreation (PR) to Commerce. The County Plan permits industrial uses, if it is determined by the local government that such use us compatible with surrounding planned land uses.</w:t>
      </w:r>
    </w:p>
    <w:p>
      <w:pPr>
        <w:pStyle w:val="BodyText"/>
        <w:spacing w:before="11"/>
        <w:rPr>
          <w:rFonts w:ascii="Times New Roman"/>
        </w:rPr>
      </w:pPr>
    </w:p>
    <w:p>
      <w:pPr>
        <w:spacing w:line="249" w:lineRule="auto" w:before="0"/>
        <w:ind w:left="979" w:right="1492" w:firstLine="692"/>
        <w:jc w:val="both"/>
        <w:rPr>
          <w:rFonts w:ascii="Times New Roman"/>
          <w:sz w:val="23"/>
        </w:rPr>
      </w:pPr>
      <w:r>
        <w:rPr>
          <w:rFonts w:ascii="Arial"/>
          <w:w w:val="105"/>
          <w:sz w:val="23"/>
        </w:rPr>
        <w:t>It</w:t>
      </w:r>
      <w:r>
        <w:rPr>
          <w:rFonts w:ascii="Arial"/>
          <w:spacing w:val="-2"/>
          <w:w w:val="105"/>
          <w:sz w:val="23"/>
        </w:rPr>
        <w:t> </w:t>
      </w:r>
      <w:r>
        <w:rPr>
          <w:rFonts w:ascii="Times New Roman"/>
          <w:w w:val="105"/>
          <w:sz w:val="23"/>
        </w:rPr>
        <w:t>would</w:t>
      </w:r>
      <w:r>
        <w:rPr>
          <w:rFonts w:ascii="Times New Roman"/>
          <w:spacing w:val="-14"/>
          <w:w w:val="105"/>
          <w:sz w:val="23"/>
        </w:rPr>
        <w:t> </w:t>
      </w:r>
      <w:r>
        <w:rPr>
          <w:rFonts w:ascii="Times New Roman"/>
          <w:w w:val="105"/>
          <w:sz w:val="23"/>
        </w:rPr>
        <w:t>be</w:t>
      </w:r>
      <w:r>
        <w:rPr>
          <w:rFonts w:ascii="Times New Roman"/>
          <w:spacing w:val="-23"/>
          <w:w w:val="105"/>
          <w:sz w:val="23"/>
        </w:rPr>
        <w:t> </w:t>
      </w:r>
      <w:r>
        <w:rPr>
          <w:rFonts w:ascii="Times New Roman"/>
          <w:w w:val="105"/>
          <w:sz w:val="23"/>
        </w:rPr>
        <w:t>our</w:t>
      </w:r>
      <w:r>
        <w:rPr>
          <w:rFonts w:ascii="Times New Roman"/>
          <w:spacing w:val="-23"/>
          <w:w w:val="105"/>
          <w:sz w:val="23"/>
        </w:rPr>
        <w:t> </w:t>
      </w:r>
      <w:r>
        <w:rPr>
          <w:rFonts w:ascii="Times New Roman"/>
          <w:w w:val="105"/>
          <w:sz w:val="23"/>
        </w:rPr>
        <w:t>intention</w:t>
      </w:r>
      <w:r>
        <w:rPr>
          <w:rFonts w:ascii="Times New Roman"/>
          <w:spacing w:val="-19"/>
          <w:w w:val="105"/>
          <w:sz w:val="23"/>
        </w:rPr>
        <w:t> </w:t>
      </w:r>
      <w:r>
        <w:rPr>
          <w:rFonts w:ascii="Times New Roman"/>
          <w:w w:val="105"/>
          <w:sz w:val="23"/>
        </w:rPr>
        <w:t>to</w:t>
      </w:r>
      <w:r>
        <w:rPr>
          <w:rFonts w:ascii="Times New Roman"/>
          <w:spacing w:val="-23"/>
          <w:w w:val="105"/>
          <w:sz w:val="23"/>
        </w:rPr>
        <w:t> </w:t>
      </w:r>
      <w:r>
        <w:rPr>
          <w:rFonts w:ascii="Times New Roman"/>
          <w:w w:val="105"/>
          <w:sz w:val="23"/>
        </w:rPr>
        <w:t>have</w:t>
      </w:r>
      <w:r>
        <w:rPr>
          <w:rFonts w:ascii="Times New Roman"/>
          <w:spacing w:val="-21"/>
          <w:w w:val="105"/>
          <w:sz w:val="23"/>
        </w:rPr>
        <w:t> </w:t>
      </w:r>
      <w:r>
        <w:rPr>
          <w:rFonts w:ascii="Times New Roman"/>
          <w:w w:val="105"/>
          <w:sz w:val="23"/>
        </w:rPr>
        <w:t>both</w:t>
      </w:r>
      <w:r>
        <w:rPr>
          <w:rFonts w:ascii="Times New Roman"/>
          <w:spacing w:val="-31"/>
          <w:w w:val="105"/>
          <w:sz w:val="23"/>
        </w:rPr>
        <w:t> </w:t>
      </w:r>
      <w:r>
        <w:rPr>
          <w:rFonts w:ascii="Times New Roman"/>
          <w:w w:val="105"/>
          <w:sz w:val="23"/>
        </w:rPr>
        <w:t>the</w:t>
      </w:r>
      <w:r>
        <w:rPr>
          <w:rFonts w:ascii="Times New Roman"/>
          <w:spacing w:val="-26"/>
          <w:w w:val="105"/>
          <w:sz w:val="23"/>
        </w:rPr>
        <w:t> </w:t>
      </w:r>
      <w:r>
        <w:rPr>
          <w:rFonts w:ascii="Times New Roman"/>
          <w:w w:val="105"/>
          <w:sz w:val="23"/>
        </w:rPr>
        <w:t>future</w:t>
      </w:r>
      <w:r>
        <w:rPr>
          <w:rFonts w:ascii="Times New Roman"/>
          <w:spacing w:val="-20"/>
          <w:w w:val="105"/>
          <w:sz w:val="23"/>
        </w:rPr>
        <w:t> </w:t>
      </w:r>
      <w:r>
        <w:rPr>
          <w:rFonts w:ascii="Times New Roman"/>
          <w:w w:val="105"/>
          <w:sz w:val="23"/>
        </w:rPr>
        <w:t>land</w:t>
      </w:r>
      <w:r>
        <w:rPr>
          <w:rFonts w:ascii="Times New Roman"/>
          <w:spacing w:val="-19"/>
          <w:w w:val="105"/>
          <w:sz w:val="23"/>
        </w:rPr>
        <w:t> </w:t>
      </w:r>
      <w:r>
        <w:rPr>
          <w:rFonts w:ascii="Times New Roman"/>
          <w:w w:val="105"/>
          <w:sz w:val="23"/>
        </w:rPr>
        <w:t>use</w:t>
      </w:r>
      <w:r>
        <w:rPr>
          <w:rFonts w:ascii="Times New Roman"/>
          <w:spacing w:val="-21"/>
          <w:w w:val="105"/>
          <w:sz w:val="23"/>
        </w:rPr>
        <w:t> </w:t>
      </w:r>
      <w:r>
        <w:rPr>
          <w:rFonts w:ascii="Times New Roman"/>
          <w:w w:val="105"/>
          <w:sz w:val="23"/>
        </w:rPr>
        <w:t>and</w:t>
      </w:r>
      <w:r>
        <w:rPr>
          <w:rFonts w:ascii="Times New Roman"/>
          <w:spacing w:val="-26"/>
          <w:w w:val="105"/>
          <w:sz w:val="23"/>
        </w:rPr>
        <w:t> </w:t>
      </w:r>
      <w:r>
        <w:rPr>
          <w:rFonts w:ascii="Times New Roman"/>
          <w:w w:val="105"/>
          <w:sz w:val="23"/>
        </w:rPr>
        <w:t>the</w:t>
      </w:r>
      <w:r>
        <w:rPr>
          <w:rFonts w:ascii="Times New Roman"/>
          <w:spacing w:val="-26"/>
          <w:w w:val="105"/>
          <w:sz w:val="23"/>
        </w:rPr>
        <w:t> </w:t>
      </w:r>
      <w:r>
        <w:rPr>
          <w:rFonts w:ascii="Times New Roman"/>
          <w:w w:val="105"/>
          <w:sz w:val="23"/>
        </w:rPr>
        <w:t>rezoning</w:t>
      </w:r>
      <w:r>
        <w:rPr>
          <w:rFonts w:ascii="Times New Roman"/>
          <w:spacing w:val="-16"/>
          <w:w w:val="105"/>
          <w:sz w:val="23"/>
        </w:rPr>
        <w:t> </w:t>
      </w:r>
      <w:r>
        <w:rPr>
          <w:rFonts w:ascii="Times New Roman"/>
          <w:w w:val="105"/>
          <w:sz w:val="23"/>
        </w:rPr>
        <w:t>run</w:t>
      </w:r>
      <w:r>
        <w:rPr>
          <w:rFonts w:ascii="Times New Roman"/>
          <w:spacing w:val="-24"/>
          <w:w w:val="105"/>
          <w:sz w:val="23"/>
        </w:rPr>
        <w:t> </w:t>
      </w:r>
      <w:r>
        <w:rPr>
          <w:rFonts w:ascii="Times New Roman"/>
          <w:w w:val="105"/>
          <w:sz w:val="23"/>
        </w:rPr>
        <w:t>concurrently. As</w:t>
      </w:r>
      <w:r>
        <w:rPr>
          <w:rFonts w:ascii="Times New Roman"/>
          <w:spacing w:val="-29"/>
          <w:w w:val="105"/>
          <w:sz w:val="23"/>
        </w:rPr>
        <w:t> </w:t>
      </w:r>
      <w:r>
        <w:rPr>
          <w:rFonts w:ascii="Times New Roman"/>
          <w:w w:val="105"/>
          <w:sz w:val="23"/>
        </w:rPr>
        <w:t>such,</w:t>
      </w:r>
      <w:r>
        <w:rPr>
          <w:rFonts w:ascii="Times New Roman"/>
          <w:spacing w:val="-19"/>
          <w:w w:val="105"/>
          <w:sz w:val="23"/>
        </w:rPr>
        <w:t> </w:t>
      </w:r>
      <w:r>
        <w:rPr>
          <w:rFonts w:ascii="Times New Roman"/>
          <w:w w:val="105"/>
          <w:sz w:val="23"/>
        </w:rPr>
        <w:t>we</w:t>
      </w:r>
      <w:r>
        <w:rPr>
          <w:rFonts w:ascii="Times New Roman"/>
          <w:spacing w:val="-20"/>
          <w:w w:val="105"/>
          <w:sz w:val="23"/>
        </w:rPr>
        <w:t> </w:t>
      </w:r>
      <w:r>
        <w:rPr>
          <w:rFonts w:ascii="Times New Roman"/>
          <w:w w:val="105"/>
          <w:sz w:val="23"/>
        </w:rPr>
        <w:t>are</w:t>
      </w:r>
      <w:r>
        <w:rPr>
          <w:rFonts w:ascii="Times New Roman"/>
          <w:spacing w:val="-24"/>
          <w:w w:val="105"/>
          <w:sz w:val="23"/>
        </w:rPr>
        <w:t> </w:t>
      </w:r>
      <w:r>
        <w:rPr>
          <w:rFonts w:ascii="Times New Roman"/>
          <w:w w:val="105"/>
          <w:sz w:val="23"/>
        </w:rPr>
        <w:t>requesting</w:t>
      </w:r>
      <w:r>
        <w:rPr>
          <w:rFonts w:ascii="Times New Roman"/>
          <w:spacing w:val="-15"/>
          <w:w w:val="105"/>
          <w:sz w:val="23"/>
        </w:rPr>
        <w:t> </w:t>
      </w:r>
      <w:r>
        <w:rPr>
          <w:rFonts w:ascii="Times New Roman"/>
          <w:w w:val="105"/>
          <w:sz w:val="23"/>
        </w:rPr>
        <w:t>that</w:t>
      </w:r>
      <w:r>
        <w:rPr>
          <w:rFonts w:ascii="Times New Roman"/>
          <w:spacing w:val="-22"/>
          <w:w w:val="105"/>
          <w:sz w:val="23"/>
        </w:rPr>
        <w:t> </w:t>
      </w:r>
      <w:r>
        <w:rPr>
          <w:rFonts w:ascii="Times New Roman"/>
          <w:w w:val="105"/>
          <w:sz w:val="23"/>
        </w:rPr>
        <w:t>the</w:t>
      </w:r>
      <w:r>
        <w:rPr>
          <w:rFonts w:ascii="Times New Roman"/>
          <w:spacing w:val="-23"/>
          <w:w w:val="105"/>
          <w:sz w:val="23"/>
        </w:rPr>
        <w:t> </w:t>
      </w:r>
      <w:r>
        <w:rPr>
          <w:rFonts w:ascii="Times New Roman"/>
          <w:w w:val="105"/>
          <w:sz w:val="23"/>
        </w:rPr>
        <w:t>rezoning</w:t>
      </w:r>
      <w:r>
        <w:rPr>
          <w:rFonts w:ascii="Times New Roman"/>
          <w:spacing w:val="-10"/>
          <w:w w:val="105"/>
          <w:sz w:val="23"/>
        </w:rPr>
        <w:t> </w:t>
      </w:r>
      <w:r>
        <w:rPr>
          <w:rFonts w:ascii="Times New Roman"/>
          <w:w w:val="105"/>
          <w:sz w:val="23"/>
        </w:rPr>
        <w:t>be</w:t>
      </w:r>
      <w:r>
        <w:rPr>
          <w:rFonts w:ascii="Times New Roman"/>
          <w:spacing w:val="-23"/>
          <w:w w:val="105"/>
          <w:sz w:val="23"/>
        </w:rPr>
        <w:t> </w:t>
      </w:r>
      <w:r>
        <w:rPr>
          <w:rFonts w:ascii="Times New Roman"/>
          <w:w w:val="105"/>
          <w:sz w:val="23"/>
        </w:rPr>
        <w:t>scheduled</w:t>
      </w:r>
      <w:r>
        <w:rPr>
          <w:rFonts w:ascii="Times New Roman"/>
          <w:spacing w:val="-15"/>
          <w:w w:val="105"/>
          <w:sz w:val="23"/>
        </w:rPr>
        <w:t> </w:t>
      </w:r>
      <w:r>
        <w:rPr>
          <w:rFonts w:ascii="Times New Roman"/>
          <w:w w:val="105"/>
          <w:sz w:val="23"/>
        </w:rPr>
        <w:t>to</w:t>
      </w:r>
      <w:r>
        <w:rPr>
          <w:rFonts w:ascii="Times New Roman"/>
          <w:spacing w:val="-22"/>
          <w:w w:val="105"/>
          <w:sz w:val="23"/>
        </w:rPr>
        <w:t> </w:t>
      </w:r>
      <w:r>
        <w:rPr>
          <w:rFonts w:ascii="Times New Roman"/>
          <w:w w:val="105"/>
          <w:sz w:val="23"/>
        </w:rPr>
        <w:t>coincide</w:t>
      </w:r>
      <w:r>
        <w:rPr>
          <w:rFonts w:ascii="Times New Roman"/>
          <w:spacing w:val="-11"/>
          <w:w w:val="105"/>
          <w:sz w:val="23"/>
        </w:rPr>
        <w:t> </w:t>
      </w:r>
      <w:r>
        <w:rPr>
          <w:rFonts w:ascii="Times New Roman"/>
          <w:w w:val="105"/>
          <w:sz w:val="23"/>
        </w:rPr>
        <w:t>with</w:t>
      </w:r>
      <w:r>
        <w:rPr>
          <w:rFonts w:ascii="Times New Roman"/>
          <w:spacing w:val="-23"/>
          <w:w w:val="105"/>
          <w:sz w:val="23"/>
        </w:rPr>
        <w:t> </w:t>
      </w:r>
      <w:r>
        <w:rPr>
          <w:rFonts w:ascii="Times New Roman"/>
          <w:w w:val="105"/>
          <w:sz w:val="23"/>
        </w:rPr>
        <w:t>the</w:t>
      </w:r>
      <w:r>
        <w:rPr>
          <w:rFonts w:ascii="Times New Roman"/>
          <w:spacing w:val="-23"/>
          <w:w w:val="105"/>
          <w:sz w:val="23"/>
        </w:rPr>
        <w:t> </w:t>
      </w:r>
      <w:r>
        <w:rPr>
          <w:rFonts w:ascii="Times New Roman"/>
          <w:w w:val="105"/>
          <w:sz w:val="23"/>
        </w:rPr>
        <w:t>land</w:t>
      </w:r>
      <w:r>
        <w:rPr>
          <w:rFonts w:ascii="Times New Roman"/>
          <w:spacing w:val="-17"/>
          <w:w w:val="105"/>
          <w:sz w:val="23"/>
        </w:rPr>
        <w:t> </w:t>
      </w:r>
      <w:r>
        <w:rPr>
          <w:rFonts w:ascii="Times New Roman"/>
          <w:w w:val="105"/>
          <w:sz w:val="23"/>
        </w:rPr>
        <w:t>use</w:t>
      </w:r>
      <w:r>
        <w:rPr>
          <w:rFonts w:ascii="Times New Roman"/>
          <w:spacing w:val="-19"/>
          <w:w w:val="105"/>
          <w:sz w:val="23"/>
        </w:rPr>
        <w:t> </w:t>
      </w:r>
      <w:r>
        <w:rPr>
          <w:rFonts w:ascii="Times New Roman"/>
          <w:w w:val="105"/>
          <w:sz w:val="23"/>
        </w:rPr>
        <w:t>application that</w:t>
      </w:r>
      <w:r>
        <w:rPr>
          <w:rFonts w:ascii="Times New Roman"/>
          <w:spacing w:val="-8"/>
          <w:w w:val="105"/>
          <w:sz w:val="23"/>
        </w:rPr>
        <w:t> </w:t>
      </w:r>
      <w:r>
        <w:rPr>
          <w:rFonts w:ascii="Times New Roman"/>
          <w:w w:val="105"/>
          <w:sz w:val="23"/>
        </w:rPr>
        <w:t>is</w:t>
      </w:r>
      <w:r>
        <w:rPr>
          <w:rFonts w:ascii="Times New Roman"/>
          <w:spacing w:val="-13"/>
          <w:w w:val="105"/>
          <w:sz w:val="23"/>
        </w:rPr>
        <w:t> </w:t>
      </w:r>
      <w:r>
        <w:rPr>
          <w:rFonts w:ascii="Times New Roman"/>
          <w:w w:val="105"/>
          <w:sz w:val="23"/>
        </w:rPr>
        <w:t>being</w:t>
      </w:r>
      <w:r>
        <w:rPr>
          <w:rFonts w:ascii="Times New Roman"/>
          <w:spacing w:val="-8"/>
          <w:w w:val="105"/>
          <w:sz w:val="23"/>
        </w:rPr>
        <w:t> </w:t>
      </w:r>
      <w:r>
        <w:rPr>
          <w:rFonts w:ascii="Times New Roman"/>
          <w:w w:val="105"/>
          <w:sz w:val="23"/>
        </w:rPr>
        <w:t>scheduled</w:t>
      </w:r>
      <w:r>
        <w:rPr>
          <w:rFonts w:ascii="Times New Roman"/>
          <w:spacing w:val="2"/>
          <w:w w:val="105"/>
          <w:sz w:val="23"/>
        </w:rPr>
        <w:t> </w:t>
      </w:r>
      <w:r>
        <w:rPr>
          <w:rFonts w:ascii="Times New Roman"/>
          <w:w w:val="105"/>
          <w:sz w:val="23"/>
        </w:rPr>
        <w:t>for</w:t>
      </w:r>
      <w:r>
        <w:rPr>
          <w:rFonts w:ascii="Times New Roman"/>
          <w:spacing w:val="-13"/>
          <w:w w:val="105"/>
          <w:sz w:val="23"/>
        </w:rPr>
        <w:t> </w:t>
      </w:r>
      <w:r>
        <w:rPr>
          <w:rFonts w:ascii="Times New Roman"/>
          <w:w w:val="105"/>
          <w:sz w:val="23"/>
        </w:rPr>
        <w:t>the</w:t>
      </w:r>
      <w:r>
        <w:rPr>
          <w:rFonts w:ascii="Times New Roman"/>
          <w:spacing w:val="-13"/>
          <w:w w:val="105"/>
          <w:sz w:val="23"/>
        </w:rPr>
        <w:t> </w:t>
      </w:r>
      <w:r>
        <w:rPr>
          <w:rFonts w:ascii="Times New Roman"/>
          <w:b/>
          <w:i/>
          <w:w w:val="105"/>
          <w:sz w:val="23"/>
        </w:rPr>
        <w:t>September</w:t>
      </w:r>
      <w:r>
        <w:rPr>
          <w:rFonts w:ascii="Times New Roman"/>
          <w:b/>
          <w:i/>
          <w:spacing w:val="9"/>
          <w:w w:val="105"/>
          <w:sz w:val="23"/>
        </w:rPr>
        <w:t> </w:t>
      </w:r>
      <w:r>
        <w:rPr>
          <w:rFonts w:ascii="Times New Roman"/>
          <w:b/>
          <w:i/>
          <w:w w:val="105"/>
          <w:sz w:val="23"/>
        </w:rPr>
        <w:t>22,</w:t>
      </w:r>
      <w:r>
        <w:rPr>
          <w:rFonts w:ascii="Times New Roman"/>
          <w:b/>
          <w:i/>
          <w:spacing w:val="-10"/>
          <w:w w:val="105"/>
          <w:sz w:val="23"/>
        </w:rPr>
        <w:t> </w:t>
      </w:r>
      <w:r>
        <w:rPr>
          <w:rFonts w:ascii="Times New Roman"/>
          <w:b/>
          <w:i/>
          <w:w w:val="105"/>
          <w:sz w:val="23"/>
        </w:rPr>
        <w:t>2021 Planning</w:t>
      </w:r>
      <w:r>
        <w:rPr>
          <w:rFonts w:ascii="Times New Roman"/>
          <w:b/>
          <w:i/>
          <w:spacing w:val="7"/>
          <w:w w:val="105"/>
          <w:sz w:val="23"/>
        </w:rPr>
        <w:t> </w:t>
      </w:r>
      <w:r>
        <w:rPr>
          <w:rFonts w:ascii="Times New Roman"/>
          <w:b/>
          <w:i/>
          <w:w w:val="105"/>
          <w:sz w:val="23"/>
        </w:rPr>
        <w:t>and</w:t>
      </w:r>
      <w:r>
        <w:rPr>
          <w:rFonts w:ascii="Times New Roman"/>
          <w:b/>
          <w:i/>
          <w:spacing w:val="-10"/>
          <w:w w:val="105"/>
          <w:sz w:val="23"/>
        </w:rPr>
        <w:t> </w:t>
      </w:r>
      <w:r>
        <w:rPr>
          <w:rFonts w:ascii="Times New Roman"/>
          <w:b/>
          <w:i/>
          <w:w w:val="105"/>
          <w:sz w:val="23"/>
        </w:rPr>
        <w:t>Zoning</w:t>
      </w:r>
      <w:r>
        <w:rPr>
          <w:rFonts w:ascii="Times New Roman"/>
          <w:b/>
          <w:i/>
          <w:spacing w:val="-3"/>
          <w:w w:val="105"/>
          <w:sz w:val="23"/>
        </w:rPr>
        <w:t> </w:t>
      </w:r>
      <w:r>
        <w:rPr>
          <w:rFonts w:ascii="Times New Roman"/>
          <w:b/>
          <w:i/>
          <w:w w:val="105"/>
          <w:sz w:val="23"/>
        </w:rPr>
        <w:t>Board</w:t>
      </w:r>
      <w:r>
        <w:rPr>
          <w:rFonts w:ascii="Times New Roman"/>
          <w:b/>
          <w:i/>
          <w:spacing w:val="-1"/>
          <w:w w:val="105"/>
          <w:sz w:val="23"/>
        </w:rPr>
        <w:t> </w:t>
      </w:r>
      <w:r>
        <w:rPr>
          <w:rFonts w:ascii="Times New Roman"/>
          <w:w w:val="105"/>
          <w:sz w:val="23"/>
        </w:rPr>
        <w:t>meeting.</w:t>
      </w:r>
    </w:p>
    <w:p>
      <w:pPr>
        <w:pStyle w:val="BodyText"/>
        <w:spacing w:before="6"/>
        <w:rPr>
          <w:rFonts w:ascii="Times New Roman"/>
          <w:sz w:val="16"/>
        </w:rPr>
      </w:pPr>
    </w:p>
    <w:p>
      <w:pPr>
        <w:spacing w:before="90"/>
        <w:ind w:left="1694" w:right="0" w:firstLine="0"/>
        <w:jc w:val="left"/>
        <w:rPr>
          <w:rFonts w:ascii="Times New Roman"/>
          <w:sz w:val="23"/>
        </w:rPr>
      </w:pPr>
      <w:r>
        <w:rPr>
          <w:rFonts w:ascii="Times New Roman"/>
          <w:w w:val="105"/>
          <w:sz w:val="23"/>
        </w:rPr>
        <w:t>Please feel free to contact me at 954.468.1391, should you have any questions in this</w:t>
      </w:r>
    </w:p>
    <w:p>
      <w:pPr>
        <w:spacing w:before="19"/>
        <w:ind w:left="985" w:right="0" w:firstLine="0"/>
        <w:jc w:val="left"/>
        <w:rPr>
          <w:rFonts w:ascii="Times New Roman"/>
          <w:sz w:val="23"/>
        </w:rPr>
      </w:pPr>
      <w:r>
        <w:rPr>
          <w:rFonts w:ascii="Times New Roman"/>
          <w:sz w:val="23"/>
        </w:rPr>
        <w:t>regard.</w:t>
      </w:r>
    </w:p>
    <w:p>
      <w:pPr>
        <w:pStyle w:val="BodyText"/>
        <w:spacing w:before="9"/>
        <w:rPr>
          <w:rFonts w:ascii="Times New Roman"/>
          <w:sz w:val="16"/>
        </w:rPr>
      </w:pPr>
    </w:p>
    <w:p>
      <w:pPr>
        <w:spacing w:before="91"/>
        <w:ind w:left="5982" w:right="0" w:firstLine="0"/>
        <w:jc w:val="left"/>
        <w:rPr>
          <w:rFonts w:ascii="Times New Roman"/>
          <w:sz w:val="23"/>
        </w:rPr>
      </w:pPr>
      <w:r>
        <w:rPr/>
        <w:drawing>
          <wp:anchor distT="0" distB="0" distL="0" distR="0" allowOverlap="1" layoutInCell="1" locked="0" behindDoc="0" simplePos="0" relativeHeight="0">
            <wp:simplePos x="0" y="0"/>
            <wp:positionH relativeFrom="page">
              <wp:posOffset>4102938</wp:posOffset>
            </wp:positionH>
            <wp:positionV relativeFrom="paragraph">
              <wp:posOffset>276531</wp:posOffset>
            </wp:positionV>
            <wp:extent cx="1838598" cy="499872"/>
            <wp:effectExtent l="0" t="0" r="0" b="0"/>
            <wp:wrapTopAndBottom/>
            <wp:docPr id="3" name="image2.png"/>
            <wp:cNvGraphicFramePr>
              <a:graphicFrameLocks noChangeAspect="1"/>
            </wp:cNvGraphicFramePr>
            <a:graphic>
              <a:graphicData uri="http://schemas.openxmlformats.org/drawingml/2006/picture">
                <pic:pic>
                  <pic:nvPicPr>
                    <pic:cNvPr id="4" name="image2.png"/>
                    <pic:cNvPicPr/>
                  </pic:nvPicPr>
                  <pic:blipFill>
                    <a:blip r:embed="rId8" cstate="print"/>
                    <a:stretch>
                      <a:fillRect/>
                    </a:stretch>
                  </pic:blipFill>
                  <pic:spPr>
                    <a:xfrm>
                      <a:off x="0" y="0"/>
                      <a:ext cx="1838598" cy="499872"/>
                    </a:xfrm>
                    <a:prstGeom prst="rect">
                      <a:avLst/>
                    </a:prstGeom>
                  </pic:spPr>
                </pic:pic>
              </a:graphicData>
            </a:graphic>
          </wp:anchor>
        </w:drawing>
      </w:r>
      <w:r>
        <w:rPr>
          <w:rFonts w:ascii="Times New Roman"/>
          <w:w w:val="105"/>
          <w:sz w:val="23"/>
        </w:rPr>
        <w:t>Sincerely,</w:t>
      </w:r>
    </w:p>
    <w:p>
      <w:pPr>
        <w:spacing w:before="0"/>
        <w:ind w:left="5978" w:right="0" w:firstLine="0"/>
        <w:jc w:val="left"/>
        <w:rPr>
          <w:rFonts w:ascii="Times New Roman"/>
          <w:sz w:val="23"/>
        </w:rPr>
      </w:pPr>
      <w:r>
        <w:rPr>
          <w:rFonts w:ascii="Times New Roman"/>
          <w:w w:val="105"/>
          <w:sz w:val="23"/>
        </w:rPr>
        <w:t>Heidi Davis Knapik</w:t>
      </w:r>
    </w:p>
    <w:p>
      <w:pPr>
        <w:pStyle w:val="BodyText"/>
        <w:rPr>
          <w:rFonts w:ascii="Times New Roman"/>
          <w:sz w:val="18"/>
        </w:rPr>
      </w:pPr>
    </w:p>
    <w:p>
      <w:pPr>
        <w:tabs>
          <w:tab w:pos="1690" w:val="left" w:leader="none"/>
        </w:tabs>
        <w:spacing w:before="91"/>
        <w:ind w:left="983" w:right="0" w:firstLine="0"/>
        <w:jc w:val="left"/>
        <w:rPr>
          <w:rFonts w:ascii="Times New Roman"/>
          <w:i/>
          <w:sz w:val="23"/>
        </w:rPr>
      </w:pPr>
      <w:r>
        <w:rPr>
          <w:rFonts w:ascii="Times New Roman"/>
          <w:w w:val="105"/>
          <w:sz w:val="23"/>
        </w:rPr>
        <w:t>Cc:</w:t>
        <w:tab/>
      </w:r>
      <w:r>
        <w:rPr>
          <w:rFonts w:ascii="Times New Roman"/>
          <w:i/>
          <w:w w:val="105"/>
          <w:sz w:val="23"/>
        </w:rPr>
        <w:t>sent via</w:t>
      </w:r>
      <w:r>
        <w:rPr>
          <w:rFonts w:ascii="Times New Roman"/>
          <w:i/>
          <w:spacing w:val="-1"/>
          <w:w w:val="105"/>
          <w:sz w:val="23"/>
        </w:rPr>
        <w:t> </w:t>
      </w:r>
      <w:r>
        <w:rPr>
          <w:rFonts w:ascii="Times New Roman"/>
          <w:i/>
          <w:w w:val="105"/>
          <w:sz w:val="23"/>
        </w:rPr>
        <w:t>email</w:t>
      </w:r>
    </w:p>
    <w:p>
      <w:pPr>
        <w:spacing w:line="249" w:lineRule="auto" w:before="9"/>
        <w:ind w:left="1694" w:right="6618" w:hanging="2"/>
        <w:jc w:val="left"/>
        <w:rPr>
          <w:rFonts w:ascii="Times New Roman"/>
          <w:sz w:val="23"/>
        </w:rPr>
      </w:pPr>
      <w:r>
        <w:rPr>
          <w:rFonts w:ascii="Times New Roman"/>
          <w:w w:val="105"/>
          <w:sz w:val="23"/>
        </w:rPr>
        <w:t>Jacob Zebede, KZ Copans LLC Cecelia Ward, AICP JC Consulting</w:t>
      </w:r>
    </w:p>
    <w:p>
      <w:pPr>
        <w:pStyle w:val="BodyText"/>
        <w:spacing w:before="7"/>
        <w:rPr>
          <w:rFonts w:ascii="Times New Roman"/>
          <w:sz w:val="23"/>
        </w:rPr>
      </w:pPr>
    </w:p>
    <w:p>
      <w:pPr>
        <w:spacing w:before="0"/>
        <w:ind w:left="980" w:right="0" w:firstLine="0"/>
        <w:jc w:val="left"/>
        <w:rPr>
          <w:rFonts w:ascii="Times New Roman" w:hAnsi="Times New Roman"/>
          <w:sz w:val="23"/>
        </w:rPr>
      </w:pPr>
      <w:r>
        <w:rPr>
          <w:rFonts w:ascii="Times New Roman" w:hAnsi="Times New Roman"/>
          <w:sz w:val="23"/>
        </w:rPr>
        <w:t>Attachment: Rezoning Application·</w:t>
      </w:r>
    </w:p>
    <w:p>
      <w:pPr>
        <w:spacing w:after="0"/>
        <w:jc w:val="left"/>
        <w:rPr>
          <w:rFonts w:ascii="Times New Roman" w:hAnsi="Times New Roman"/>
          <w:sz w:val="23"/>
        </w:rPr>
        <w:sectPr>
          <w:pgSz w:w="12240" w:h="15840"/>
          <w:pgMar w:top="1460" w:bottom="280" w:left="460" w:right="2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21"/>
        </w:rPr>
      </w:pPr>
    </w:p>
    <w:p>
      <w:pPr>
        <w:spacing w:before="82"/>
        <w:ind w:left="815" w:right="1234" w:firstLine="0"/>
        <w:jc w:val="center"/>
        <w:rPr>
          <w:rFonts w:ascii="Times New Roman"/>
          <w:b/>
          <w:sz w:val="40"/>
        </w:rPr>
      </w:pPr>
      <w:bookmarkStart w:name="005 June 25, 2021  Rezoning Narrative an" w:id="3"/>
      <w:bookmarkEnd w:id="3"/>
      <w:r>
        <w:rPr/>
      </w:r>
      <w:r>
        <w:rPr>
          <w:rFonts w:ascii="Times New Roman"/>
          <w:b/>
          <w:sz w:val="40"/>
        </w:rPr>
        <w:t>KZ COPANS, LLC</w:t>
      </w:r>
    </w:p>
    <w:p>
      <w:pPr>
        <w:spacing w:line="386" w:lineRule="auto" w:before="279"/>
        <w:ind w:left="3819" w:right="4239" w:firstLine="0"/>
        <w:jc w:val="center"/>
        <w:rPr>
          <w:rFonts w:ascii="Times New Roman"/>
          <w:b/>
          <w:sz w:val="40"/>
        </w:rPr>
      </w:pPr>
      <w:r>
        <w:rPr>
          <w:rFonts w:ascii="Times New Roman"/>
          <w:b/>
          <w:sz w:val="40"/>
        </w:rPr>
        <w:t>Rezoning Application Digital Submission June 25, 2021</w:t>
      </w:r>
    </w:p>
    <w:p>
      <w:pPr>
        <w:pStyle w:val="BodyText"/>
        <w:rPr>
          <w:rFonts w:ascii="Times New Roman"/>
          <w:b/>
          <w:sz w:val="20"/>
        </w:rPr>
      </w:pPr>
    </w:p>
    <w:p>
      <w:pPr>
        <w:pStyle w:val="BodyText"/>
        <w:rPr>
          <w:rFonts w:ascii="Times New Roman"/>
          <w:b/>
          <w:sz w:val="20"/>
        </w:rPr>
      </w:pPr>
    </w:p>
    <w:p>
      <w:pPr>
        <w:pStyle w:val="BodyText"/>
        <w:rPr>
          <w:rFonts w:ascii="Times New Roman"/>
          <w:b/>
          <w:sz w:val="20"/>
        </w:rPr>
      </w:pPr>
    </w:p>
    <w:p>
      <w:pPr>
        <w:pStyle w:val="BodyText"/>
        <w:rPr>
          <w:rFonts w:ascii="Times New Roman"/>
          <w:b/>
          <w:sz w:val="20"/>
        </w:rPr>
      </w:pPr>
    </w:p>
    <w:p>
      <w:pPr>
        <w:pStyle w:val="BodyText"/>
        <w:spacing w:before="10"/>
        <w:rPr>
          <w:rFonts w:ascii="Times New Roman"/>
          <w:b/>
          <w:sz w:val="14"/>
        </w:rPr>
      </w:pPr>
      <w:r>
        <w:rPr/>
        <w:pict>
          <v:group style="position:absolute;margin-left:73.390602pt;margin-top:10.534831pt;width:468pt;height:263.25pt;mso-position-horizontal-relative:page;mso-position-vertical-relative:paragraph;z-index:-251656192;mso-wrap-distance-left:0;mso-wrap-distance-right:0" coordorigin="1468,211" coordsize="9360,5265">
            <v:rect style="position:absolute;left:1467;top:210;width:9360;height:5265" filled="true" fillcolor="#ffc000" stroked="false">
              <v:fill type="solid"/>
            </v:rect>
            <v:shape style="position:absolute;left:5447;top:1455;width:4739;height:2769" type="#_x0000_t75" stroked="false">
              <v:imagedata r:id="rId9" o:title=""/>
            </v:shape>
            <v:shape style="position:absolute;left:7759;top:1868;width:133;height:133" type="#_x0000_t75" stroked="false">
              <v:imagedata r:id="rId10" o:title=""/>
            </v:shape>
            <v:shape style="position:absolute;left:7768;top:2102;width:133;height:133" type="#_x0000_t75" stroked="false">
              <v:imagedata r:id="rId11" o:title=""/>
            </v:shape>
            <v:shape style="position:absolute;left:7798;top:2372;width:133;height:133" type="#_x0000_t75" stroked="false">
              <v:imagedata r:id="rId11" o:title=""/>
            </v:shape>
            <v:shape style="position:absolute;left:8089;top:2675;width:133;height:133" type="#_x0000_t75" stroked="false">
              <v:imagedata r:id="rId10" o:title=""/>
            </v:shape>
            <v:shape style="position:absolute;left:7804;top:2652;width:133;height:133" type="#_x0000_t75" stroked="false">
              <v:imagedata r:id="rId12" o:title=""/>
            </v:shape>
            <v:shape style="position:absolute;left:8413;top:2679;width:133;height:133" type="#_x0000_t75" stroked="false">
              <v:imagedata r:id="rId11" o:title=""/>
            </v:shape>
            <v:shape style="position:absolute;left:9059;top:2679;width:133;height:133" type="#_x0000_t75" stroked="false">
              <v:imagedata r:id="rId11" o:title=""/>
            </v:shape>
            <v:shape style="position:absolute;left:8700;top:2671;width:133;height:133" type="#_x0000_t75" stroked="false">
              <v:imagedata r:id="rId11" o:title=""/>
            </v:shape>
            <v:shape style="position:absolute;left:9367;top:2673;width:133;height:133" type="#_x0000_t75" stroked="false">
              <v:imagedata r:id="rId11" o:title=""/>
            </v:shape>
            <v:shape style="position:absolute;left:9816;top:1842;width:133;height:133" type="#_x0000_t75" stroked="false">
              <v:imagedata r:id="rId13" o:title=""/>
            </v:shape>
            <v:shape style="position:absolute;left:9655;top:2680;width:133;height:133" type="#_x0000_t75" stroked="false">
              <v:imagedata r:id="rId11" o:title=""/>
            </v:shape>
            <v:shape style="position:absolute;left:9858;top:2120;width:133;height:133" type="#_x0000_t75" stroked="false">
              <v:imagedata r:id="rId11" o:title=""/>
            </v:shape>
            <v:shape style="position:absolute;left:9839;top:2515;width:133;height:133" type="#_x0000_t75" stroked="false">
              <v:imagedata r:id="rId11" o:title=""/>
            </v:shape>
            <v:shape style="position:absolute;left:7999;top:1821;width:133;height:133" type="#_x0000_t75" stroked="false">
              <v:imagedata r:id="rId10" o:title=""/>
            </v:shape>
            <v:shape style="position:absolute;left:8275;top:1820;width:133;height:133" type="#_x0000_t75" stroked="false">
              <v:imagedata r:id="rId11" o:title=""/>
            </v:shape>
            <v:shape style="position:absolute;left:8513;top:1835;width:133;height:133" type="#_x0000_t75" stroked="false">
              <v:imagedata r:id="rId11" o:title=""/>
            </v:shape>
            <v:shape style="position:absolute;left:8764;top:1828;width:133;height:133" type="#_x0000_t75" stroked="false">
              <v:imagedata r:id="rId10" o:title=""/>
            </v:shape>
            <v:shape style="position:absolute;left:9051;top:1820;width:133;height:133" type="#_x0000_t75" stroked="false">
              <v:imagedata r:id="rId11" o:title=""/>
            </v:shape>
            <v:shape style="position:absolute;left:9381;top:1835;width:133;height:133" type="#_x0000_t75" stroked="false">
              <v:imagedata r:id="rId11" o:title=""/>
            </v:shape>
            <v:shape style="position:absolute;left:9592;top:1843;width:133;height:133" type="#_x0000_t75" stroked="false">
              <v:imagedata r:id="rId11" o:title=""/>
            </v:shape>
            <v:shape style="position:absolute;left:6254;top:4602;width:133;height:133" type="#_x0000_t75" stroked="false">
              <v:imagedata r:id="rId13" o:title=""/>
            </v:shape>
            <v:shapetype id="_x0000_t202" o:spt="202" coordsize="21600,21600" path="m,l,21600r21600,l21600,xe">
              <v:stroke joinstyle="miter"/>
              <v:path gradientshapeok="t" o:connecttype="rect"/>
            </v:shapetype>
            <v:shape style="position:absolute;left:1467;top:210;width:9360;height:5265" type="#_x0000_t202" filled="false" stroked="false">
              <v:textbox inset="0,0,0,0">
                <w:txbxContent>
                  <w:p>
                    <w:pPr>
                      <w:spacing w:line="240" w:lineRule="auto" w:before="0"/>
                      <w:rPr>
                        <w:rFonts w:ascii="Times New Roman"/>
                        <w:b/>
                        <w:sz w:val="32"/>
                      </w:rPr>
                    </w:pPr>
                  </w:p>
                  <w:p>
                    <w:pPr>
                      <w:spacing w:before="254"/>
                      <w:ind w:left="708" w:right="5913" w:firstLine="0"/>
                      <w:jc w:val="center"/>
                      <w:rPr>
                        <w:b/>
                        <w:sz w:val="27"/>
                      </w:rPr>
                    </w:pPr>
                    <w:r>
                      <w:rPr>
                        <w:b/>
                        <w:sz w:val="27"/>
                      </w:rPr>
                      <w:t>City of Pompano Beach</w:t>
                    </w:r>
                  </w:p>
                  <w:p>
                    <w:pPr>
                      <w:spacing w:line="240" w:lineRule="auto" w:before="0"/>
                      <w:rPr>
                        <w:b/>
                        <w:sz w:val="32"/>
                      </w:rPr>
                    </w:pPr>
                  </w:p>
                  <w:p>
                    <w:pPr>
                      <w:spacing w:line="240" w:lineRule="auto" w:before="10"/>
                      <w:rPr>
                        <w:b/>
                        <w:sz w:val="37"/>
                      </w:rPr>
                    </w:pPr>
                  </w:p>
                  <w:p>
                    <w:pPr>
                      <w:spacing w:before="0"/>
                      <w:ind w:left="710" w:right="5913" w:firstLine="0"/>
                      <w:jc w:val="center"/>
                      <w:rPr>
                        <w:sz w:val="27"/>
                      </w:rPr>
                    </w:pPr>
                    <w:r>
                      <w:rPr>
                        <w:sz w:val="27"/>
                      </w:rPr>
                      <w:t>Proposed Rezoning</w:t>
                    </w:r>
                  </w:p>
                  <w:p>
                    <w:pPr>
                      <w:spacing w:line="240" w:lineRule="auto" w:before="10"/>
                      <w:rPr>
                        <w:sz w:val="36"/>
                      </w:rPr>
                    </w:pPr>
                  </w:p>
                  <w:p>
                    <w:pPr>
                      <w:spacing w:line="285" w:lineRule="auto" w:before="0"/>
                      <w:ind w:left="710" w:right="5913" w:firstLine="0"/>
                      <w:jc w:val="center"/>
                      <w:rPr>
                        <w:sz w:val="27"/>
                      </w:rPr>
                    </w:pPr>
                    <w:r>
                      <w:rPr>
                        <w:sz w:val="27"/>
                      </w:rPr>
                      <w:t>From Public Utilities (Pu) To Industrial (I-1)</w:t>
                    </w:r>
                  </w:p>
                  <w:p>
                    <w:pPr>
                      <w:spacing w:line="240" w:lineRule="auto" w:before="0"/>
                      <w:rPr>
                        <w:sz w:val="32"/>
                      </w:rPr>
                    </w:pPr>
                  </w:p>
                  <w:p>
                    <w:pPr>
                      <w:spacing w:line="240" w:lineRule="auto" w:before="10"/>
                      <w:rPr>
                        <w:sz w:val="47"/>
                      </w:rPr>
                    </w:pPr>
                  </w:p>
                  <w:p>
                    <w:pPr>
                      <w:spacing w:before="0"/>
                      <w:ind w:left="5103" w:right="0" w:firstLine="0"/>
                      <w:jc w:val="left"/>
                      <w:rPr>
                        <w:sz w:val="19"/>
                      </w:rPr>
                    </w:pPr>
                    <w:r>
                      <w:rPr>
                        <w:w w:val="105"/>
                        <w:sz w:val="19"/>
                      </w:rPr>
                      <w:t>1900 West Copans Road – Rezoning Site</w:t>
                    </w:r>
                  </w:p>
                </w:txbxContent>
              </v:textbox>
              <w10:wrap type="none"/>
            </v:shape>
            <w10:wrap type="topAndBottom"/>
          </v:group>
        </w:pict>
      </w:r>
    </w:p>
    <w:p>
      <w:pPr>
        <w:spacing w:after="0"/>
        <w:rPr>
          <w:rFonts w:ascii="Times New Roman"/>
          <w:sz w:val="14"/>
        </w:rPr>
        <w:sectPr>
          <w:pgSz w:w="12240" w:h="15840"/>
          <w:pgMar w:top="1500" w:bottom="280" w:left="460" w:right="20"/>
        </w:sectPr>
      </w:pPr>
    </w:p>
    <w:p>
      <w:pPr>
        <w:spacing w:before="77"/>
        <w:ind w:left="815" w:right="1236" w:firstLine="0"/>
        <w:jc w:val="center"/>
        <w:rPr>
          <w:rFonts w:ascii="Calibri Light"/>
          <w:b w:val="0"/>
          <w:sz w:val="27"/>
        </w:rPr>
      </w:pPr>
      <w:r>
        <w:rPr>
          <w:rFonts w:ascii="Calibri Light"/>
          <w:b w:val="0"/>
          <w:w w:val="105"/>
          <w:sz w:val="27"/>
        </w:rPr>
        <w:t>Table of Contents</w:t>
      </w:r>
    </w:p>
    <w:sdt>
      <w:sdtPr>
        <w:docPartObj>
          <w:docPartGallery w:val="Table of Contents"/>
          <w:docPartUnique/>
        </w:docPartObj>
      </w:sdtPr>
      <w:sdtEndPr/>
      <w:sdtContent>
        <w:p>
          <w:pPr>
            <w:pStyle w:val="TOC1"/>
            <w:tabs>
              <w:tab w:pos="10339" w:val="right" w:leader="dot"/>
            </w:tabs>
            <w:spacing w:before="178"/>
            <w:rPr>
              <w:i/>
            </w:rPr>
          </w:pPr>
          <w:r>
            <w:fldChar w:fldCharType="begin"/>
          </w:r>
          <w:r>
            <w:instrText>TOC \o "1-2" \h \z \u </w:instrText>
          </w:r>
          <w:r>
            <w:fldChar w:fldCharType="separate"/>
          </w:r>
          <w:hyperlink w:history="true" w:anchor="_TOC_250018">
            <w:r>
              <w:rPr>
                <w:i/>
              </w:rPr>
              <w:t>REZONING REQUEST  -</w:t>
            </w:r>
            <w:r>
              <w:rPr>
                <w:i/>
                <w:spacing w:val="-2"/>
              </w:rPr>
              <w:t> </w:t>
            </w:r>
            <w:r>
              <w:rPr>
                <w:i/>
              </w:rPr>
              <w:t>WRITTEN NARRATIVE</w:t>
              <w:tab/>
              <w:t>3</w:t>
            </w:r>
          </w:hyperlink>
        </w:p>
        <w:p>
          <w:pPr>
            <w:pStyle w:val="TOC2"/>
            <w:tabs>
              <w:tab w:pos="10339" w:val="right" w:leader="dot"/>
            </w:tabs>
          </w:pPr>
          <w:hyperlink w:history="true" w:anchor="_TOC_250017">
            <w:r>
              <w:rPr/>
              <w:t>Part 1 - Existing</w:t>
            </w:r>
            <w:r>
              <w:rPr>
                <w:spacing w:val="-5"/>
              </w:rPr>
              <w:t> </w:t>
            </w:r>
            <w:r>
              <w:rPr/>
              <w:t>Land</w:t>
            </w:r>
            <w:r>
              <w:rPr>
                <w:spacing w:val="-1"/>
              </w:rPr>
              <w:t> </w:t>
            </w:r>
            <w:r>
              <w:rPr/>
              <w:t>Use</w:t>
              <w:tab/>
              <w:t>3</w:t>
            </w:r>
          </w:hyperlink>
        </w:p>
        <w:p>
          <w:pPr>
            <w:pStyle w:val="TOC2"/>
            <w:tabs>
              <w:tab w:pos="10339" w:val="right" w:leader="dot"/>
            </w:tabs>
          </w:pPr>
          <w:hyperlink w:history="true" w:anchor="_TOC_250016">
            <w:r>
              <w:rPr/>
              <w:t>Part 2 - Explanation</w:t>
            </w:r>
            <w:r>
              <w:rPr>
                <w:spacing w:val="-5"/>
              </w:rPr>
              <w:t> </w:t>
            </w:r>
            <w:r>
              <w:rPr/>
              <w:t>of</w:t>
            </w:r>
            <w:r>
              <w:rPr>
                <w:spacing w:val="-1"/>
              </w:rPr>
              <w:t> </w:t>
            </w:r>
            <w:r>
              <w:rPr/>
              <w:t>Need</w:t>
              <w:tab/>
              <w:t>3</w:t>
            </w:r>
          </w:hyperlink>
        </w:p>
        <w:p>
          <w:pPr>
            <w:pStyle w:val="TOC2"/>
            <w:tabs>
              <w:tab w:pos="10339" w:val="right" w:leader="dot"/>
            </w:tabs>
          </w:pPr>
          <w:hyperlink w:history="true" w:anchor="_TOC_250015">
            <w:r>
              <w:rPr/>
              <w:t>Part 3 -Future</w:t>
            </w:r>
            <w:r>
              <w:rPr>
                <w:spacing w:val="-4"/>
              </w:rPr>
              <w:t> </w:t>
            </w:r>
            <w:r>
              <w:rPr/>
              <w:t>Land</w:t>
            </w:r>
            <w:r>
              <w:rPr>
                <w:spacing w:val="-1"/>
              </w:rPr>
              <w:t> </w:t>
            </w:r>
            <w:r>
              <w:rPr/>
              <w:t>Use</w:t>
              <w:tab/>
              <w:t>3</w:t>
            </w:r>
          </w:hyperlink>
        </w:p>
        <w:p>
          <w:pPr>
            <w:pStyle w:val="TOC2"/>
            <w:tabs>
              <w:tab w:pos="10339" w:val="right" w:leader="dot"/>
            </w:tabs>
          </w:pPr>
          <w:hyperlink w:history="true" w:anchor="_TOC_250014">
            <w:r>
              <w:rPr/>
              <w:t>Part 4</w:t>
            </w:r>
            <w:r>
              <w:rPr>
                <w:spacing w:val="-3"/>
              </w:rPr>
              <w:t> </w:t>
            </w:r>
            <w:r>
              <w:rPr/>
              <w:t>-</w:t>
            </w:r>
            <w:r>
              <w:rPr>
                <w:spacing w:val="-1"/>
              </w:rPr>
              <w:t> </w:t>
            </w:r>
            <w:r>
              <w:rPr/>
              <w:t>Zoning</w:t>
              <w:tab/>
              <w:t>4</w:t>
            </w:r>
          </w:hyperlink>
        </w:p>
        <w:p>
          <w:pPr>
            <w:pStyle w:val="TOC2"/>
            <w:tabs>
              <w:tab w:pos="10339" w:val="right" w:leader="dot"/>
            </w:tabs>
            <w:spacing w:before="121"/>
          </w:pPr>
          <w:hyperlink w:history="true" w:anchor="_TOC_250013">
            <w:r>
              <w:rPr/>
              <w:t>Part 5 - Compatibility with</w:t>
            </w:r>
            <w:r>
              <w:rPr>
                <w:spacing w:val="-6"/>
              </w:rPr>
              <w:t> </w:t>
            </w:r>
            <w:r>
              <w:rPr/>
              <w:t>Surrounding</w:t>
            </w:r>
            <w:r>
              <w:rPr>
                <w:spacing w:val="-1"/>
              </w:rPr>
              <w:t> </w:t>
            </w:r>
            <w:r>
              <w:rPr/>
              <w:t>Uses</w:t>
              <w:tab/>
              <w:t>4</w:t>
            </w:r>
          </w:hyperlink>
        </w:p>
        <w:p>
          <w:pPr>
            <w:pStyle w:val="TOC2"/>
            <w:tabs>
              <w:tab w:pos="10339" w:val="right" w:leader="dot"/>
            </w:tabs>
          </w:pPr>
          <w:hyperlink w:history="true" w:anchor="_TOC_250012">
            <w:r>
              <w:rPr/>
              <w:t>Part 6 -</w:t>
            </w:r>
            <w:r>
              <w:rPr>
                <w:spacing w:val="-4"/>
              </w:rPr>
              <w:t> </w:t>
            </w:r>
            <w:r>
              <w:rPr/>
              <w:t>Proposed</w:t>
            </w:r>
            <w:r>
              <w:rPr>
                <w:spacing w:val="-1"/>
              </w:rPr>
              <w:t> </w:t>
            </w:r>
            <w:r>
              <w:rPr/>
              <w:t>Development</w:t>
              <w:tab/>
              <w:t>5</w:t>
            </w:r>
          </w:hyperlink>
        </w:p>
        <w:p>
          <w:pPr>
            <w:pStyle w:val="TOC2"/>
            <w:tabs>
              <w:tab w:pos="10339" w:val="right" w:leader="dot"/>
            </w:tabs>
          </w:pPr>
          <w:hyperlink w:history="true" w:anchor="_TOC_250011">
            <w:r>
              <w:rPr/>
              <w:t>Part 7 - Applicability of City Industrial</w:t>
            </w:r>
            <w:r>
              <w:rPr>
                <w:spacing w:val="-8"/>
              </w:rPr>
              <w:t> </w:t>
            </w:r>
            <w:r>
              <w:rPr/>
              <w:t>Design</w:t>
            </w:r>
            <w:r>
              <w:rPr>
                <w:spacing w:val="-2"/>
              </w:rPr>
              <w:t> </w:t>
            </w:r>
            <w:r>
              <w:rPr/>
              <w:t>Standards</w:t>
              <w:tab/>
              <w:t>6</w:t>
            </w:r>
          </w:hyperlink>
        </w:p>
        <w:p>
          <w:pPr>
            <w:pStyle w:val="TOC2"/>
            <w:tabs>
              <w:tab w:pos="10339" w:val="right" w:leader="dot"/>
            </w:tabs>
          </w:pPr>
          <w:hyperlink w:history="true" w:anchor="_TOC_250010">
            <w:r>
              <w:rPr/>
              <w:t>Part 8 - Consistent with the</w:t>
            </w:r>
            <w:r>
              <w:rPr>
                <w:spacing w:val="-7"/>
              </w:rPr>
              <w:t> </w:t>
            </w:r>
            <w:r>
              <w:rPr/>
              <w:t>City</w:t>
            </w:r>
            <w:r>
              <w:rPr>
                <w:spacing w:val="-1"/>
              </w:rPr>
              <w:t> </w:t>
            </w:r>
            <w:r>
              <w:rPr/>
              <w:t>Plans</w:t>
              <w:tab/>
              <w:t>6</w:t>
            </w:r>
          </w:hyperlink>
        </w:p>
        <w:p>
          <w:pPr>
            <w:pStyle w:val="TOC1"/>
            <w:tabs>
              <w:tab w:pos="10339" w:val="right" w:leader="dot"/>
            </w:tabs>
            <w:rPr>
              <w:i/>
            </w:rPr>
          </w:pPr>
          <w:hyperlink w:history="true" w:anchor="_TOC_250009">
            <w:r>
              <w:rPr>
                <w:i/>
              </w:rPr>
              <w:t>EXHIBITS</w:t>
              <w:tab/>
              <w:t>7</w:t>
            </w:r>
          </w:hyperlink>
        </w:p>
        <w:p>
          <w:pPr>
            <w:pStyle w:val="TOC2"/>
            <w:tabs>
              <w:tab w:pos="10339" w:val="right" w:leader="dot"/>
            </w:tabs>
            <w:spacing w:before="115"/>
          </w:pPr>
          <w:hyperlink w:history="true" w:anchor="_TOC_250008">
            <w:r>
              <w:rPr/>
              <w:t>Exhibit A-</w:t>
            </w:r>
            <w:r>
              <w:rPr>
                <w:spacing w:val="-3"/>
              </w:rPr>
              <w:t> </w:t>
            </w:r>
            <w:r>
              <w:rPr/>
              <w:t>Current</w:t>
            </w:r>
            <w:r>
              <w:rPr>
                <w:spacing w:val="-1"/>
              </w:rPr>
              <w:t> </w:t>
            </w:r>
            <w:r>
              <w:rPr/>
              <w:t>Survey</w:t>
              <w:tab/>
              <w:t>8</w:t>
            </w:r>
          </w:hyperlink>
        </w:p>
        <w:p>
          <w:pPr>
            <w:pStyle w:val="TOC2"/>
            <w:tabs>
              <w:tab w:pos="10339" w:val="right" w:leader="dot"/>
            </w:tabs>
          </w:pPr>
          <w:hyperlink w:history="true" w:anchor="_TOC_250007">
            <w:r>
              <w:rPr/>
              <w:t>Attachment 1 - Legal Description –</w:t>
            </w:r>
            <w:r>
              <w:rPr>
                <w:spacing w:val="-8"/>
              </w:rPr>
              <w:t> </w:t>
            </w:r>
            <w:r>
              <w:rPr/>
              <w:t>In</w:t>
            </w:r>
            <w:r>
              <w:rPr>
                <w:spacing w:val="-1"/>
              </w:rPr>
              <w:t> </w:t>
            </w:r>
            <w:r>
              <w:rPr/>
              <w:t>WORD</w:t>
              <w:tab/>
              <w:t>9</w:t>
            </w:r>
          </w:hyperlink>
        </w:p>
        <w:p>
          <w:pPr>
            <w:pStyle w:val="TOC2"/>
            <w:tabs>
              <w:tab w:pos="10339" w:val="right" w:leader="dot"/>
            </w:tabs>
          </w:pPr>
          <w:hyperlink w:history="true" w:anchor="_TOC_250006">
            <w:r>
              <w:rPr/>
              <w:t>Exhibit B -</w:t>
            </w:r>
            <w:r>
              <w:rPr>
                <w:spacing w:val="-4"/>
              </w:rPr>
              <w:t> </w:t>
            </w:r>
            <w:r>
              <w:rPr/>
              <w:t>Location</w:t>
            </w:r>
            <w:r>
              <w:rPr>
                <w:spacing w:val="-1"/>
              </w:rPr>
              <w:t> </w:t>
            </w:r>
            <w:r>
              <w:rPr/>
              <w:t>Map</w:t>
              <w:tab/>
              <w:t>10</w:t>
            </w:r>
          </w:hyperlink>
        </w:p>
        <w:p>
          <w:pPr>
            <w:pStyle w:val="TOC2"/>
            <w:tabs>
              <w:tab w:pos="10339" w:val="right" w:leader="dot"/>
            </w:tabs>
          </w:pPr>
          <w:hyperlink w:history="true" w:anchor="_TOC_250005">
            <w:r>
              <w:rPr/>
              <w:t>Exhibit C – City Future Land Use – Application</w:t>
            </w:r>
            <w:r>
              <w:rPr>
                <w:spacing w:val="-11"/>
              </w:rPr>
              <w:t> </w:t>
            </w:r>
            <w:r>
              <w:rPr/>
              <w:t>in</w:t>
            </w:r>
            <w:r>
              <w:rPr>
                <w:spacing w:val="-1"/>
              </w:rPr>
              <w:t> </w:t>
            </w:r>
            <w:r>
              <w:rPr/>
              <w:t>Process</w:t>
              <w:tab/>
              <w:t>11</w:t>
            </w:r>
          </w:hyperlink>
        </w:p>
        <w:p>
          <w:pPr>
            <w:pStyle w:val="TOC2"/>
            <w:tabs>
              <w:tab w:pos="10339" w:val="right" w:leader="dot"/>
            </w:tabs>
            <w:spacing w:before="121"/>
          </w:pPr>
          <w:hyperlink w:history="true" w:anchor="_TOC_250004">
            <w:r>
              <w:rPr/>
              <w:t>Exhibit D –County Future Land Use – Application</w:t>
            </w:r>
            <w:r>
              <w:rPr>
                <w:spacing w:val="-10"/>
              </w:rPr>
              <w:t> </w:t>
            </w:r>
            <w:r>
              <w:rPr/>
              <w:t>in</w:t>
            </w:r>
            <w:r>
              <w:rPr>
                <w:spacing w:val="-1"/>
              </w:rPr>
              <w:t> </w:t>
            </w:r>
            <w:r>
              <w:rPr/>
              <w:t>Process</w:t>
              <w:tab/>
              <w:t>11</w:t>
            </w:r>
          </w:hyperlink>
        </w:p>
        <w:p>
          <w:pPr>
            <w:pStyle w:val="TOC2"/>
            <w:tabs>
              <w:tab w:pos="10339" w:val="right" w:leader="dot"/>
            </w:tabs>
          </w:pPr>
          <w:hyperlink w:history="true" w:anchor="_TOC_250003">
            <w:r>
              <w:rPr/>
              <w:t>Exhibit E-</w:t>
            </w:r>
            <w:r>
              <w:rPr>
                <w:spacing w:val="-3"/>
              </w:rPr>
              <w:t> </w:t>
            </w:r>
            <w:r>
              <w:rPr/>
              <w:t>Existing</w:t>
            </w:r>
            <w:r>
              <w:rPr>
                <w:spacing w:val="-1"/>
              </w:rPr>
              <w:t> </w:t>
            </w:r>
            <w:r>
              <w:rPr/>
              <w:t>Zoning</w:t>
              <w:tab/>
              <w:t>12</w:t>
            </w:r>
          </w:hyperlink>
        </w:p>
        <w:p>
          <w:pPr>
            <w:pStyle w:val="TOC2"/>
            <w:tabs>
              <w:tab w:pos="10339" w:val="right" w:leader="dot"/>
            </w:tabs>
          </w:pPr>
          <w:hyperlink w:history="true" w:anchor="_TOC_250002">
            <w:r>
              <w:rPr/>
              <w:t>Exhibit F –</w:t>
            </w:r>
            <w:r>
              <w:rPr>
                <w:spacing w:val="-4"/>
              </w:rPr>
              <w:t> </w:t>
            </w:r>
            <w:r>
              <w:rPr/>
              <w:t>Proposed</w:t>
            </w:r>
            <w:r>
              <w:rPr>
                <w:spacing w:val="-1"/>
              </w:rPr>
              <w:t> </w:t>
            </w:r>
            <w:r>
              <w:rPr/>
              <w:t>Zoning</w:t>
              <w:tab/>
              <w:t>13</w:t>
            </w:r>
          </w:hyperlink>
        </w:p>
        <w:p>
          <w:pPr>
            <w:pStyle w:val="TOC2"/>
            <w:tabs>
              <w:tab w:pos="10339" w:val="right" w:leader="dot"/>
            </w:tabs>
          </w:pPr>
          <w:hyperlink w:history="true" w:anchor="_TOC_250001">
            <w:r>
              <w:rPr/>
              <w:t>Exhibit G – Consistent with City of Pompano Beach</w:t>
            </w:r>
            <w:r>
              <w:rPr>
                <w:spacing w:val="-13"/>
              </w:rPr>
              <w:t> </w:t>
            </w:r>
            <w:r>
              <w:rPr/>
              <w:t>Comprehensive</w:t>
            </w:r>
            <w:r>
              <w:rPr>
                <w:spacing w:val="-2"/>
              </w:rPr>
              <w:t> </w:t>
            </w:r>
            <w:r>
              <w:rPr/>
              <w:t>Plan</w:t>
              <w:tab/>
              <w:t>14</w:t>
            </w:r>
          </w:hyperlink>
        </w:p>
        <w:p>
          <w:pPr>
            <w:pStyle w:val="TOC2"/>
            <w:tabs>
              <w:tab w:pos="10339" w:val="right" w:leader="dot"/>
            </w:tabs>
            <w:spacing w:before="121"/>
          </w:pPr>
          <w:hyperlink w:history="true" w:anchor="_TOC_250000">
            <w:r>
              <w:rPr/>
              <w:t>Exhibit H– Consistent with the City of Pompano Beach Northwest</w:t>
            </w:r>
            <w:r>
              <w:rPr>
                <w:spacing w:val="-15"/>
              </w:rPr>
              <w:t> </w:t>
            </w:r>
            <w:r>
              <w:rPr/>
              <w:t>CRA</w:t>
            </w:r>
            <w:r>
              <w:rPr>
                <w:spacing w:val="-2"/>
              </w:rPr>
              <w:t> </w:t>
            </w:r>
            <w:r>
              <w:rPr/>
              <w:t>Plan</w:t>
              <w:tab/>
              <w:t>16</w:t>
            </w:r>
          </w:hyperlink>
        </w:p>
        <w:p>
          <w:pPr/>
          <w:r>
            <w:fldChar w:fldCharType="end"/>
          </w:r>
        </w:p>
      </w:sdtContent>
    </w:sdt>
    <w:p>
      <w:pPr>
        <w:spacing w:after="0"/>
        <w:sectPr>
          <w:footerReference w:type="default" r:id="rId14"/>
          <w:pgSz w:w="12240" w:h="15840"/>
          <w:pgMar w:footer="901" w:header="0" w:top="1380" w:bottom="1100" w:left="460" w:right="20"/>
          <w:pgNumType w:start="2"/>
        </w:sectPr>
      </w:pPr>
    </w:p>
    <w:p>
      <w:pPr>
        <w:pStyle w:val="Heading1"/>
        <w:ind w:left="989"/>
        <w:rPr>
          <w:b w:val="0"/>
        </w:rPr>
      </w:pPr>
      <w:bookmarkStart w:name="_TOC_250018" w:id="4"/>
      <w:bookmarkEnd w:id="4"/>
      <w:r>
        <w:rPr>
          <w:b w:val="0"/>
        </w:rPr>
        <w:t>REZONING REQUEST - WRITTEN NARRATIVE</w:t>
      </w:r>
    </w:p>
    <w:p>
      <w:pPr>
        <w:pStyle w:val="BodyText"/>
        <w:spacing w:before="295"/>
        <w:ind w:left="989" w:right="1706"/>
      </w:pPr>
      <w:r>
        <w:rPr/>
        <w:t>This application is a request to rezone approximately </w:t>
      </w:r>
      <w:r>
        <w:rPr>
          <w:b/>
          <w:i/>
        </w:rPr>
        <w:t>4.4979 acres in size </w:t>
      </w:r>
      <w:r>
        <w:rPr/>
        <w:t>located west of Interstate 95, immediately south of and adjacent to West Copans Road, north of NE 22 Court and east of Powerline Road.</w:t>
      </w:r>
    </w:p>
    <w:p>
      <w:pPr>
        <w:pStyle w:val="BodyText"/>
        <w:spacing w:before="1"/>
        <w:rPr>
          <w:sz w:val="27"/>
        </w:rPr>
      </w:pPr>
    </w:p>
    <w:p>
      <w:pPr>
        <w:pStyle w:val="Heading2"/>
        <w:ind w:left="989"/>
        <w:rPr>
          <w:b w:val="0"/>
        </w:rPr>
      </w:pPr>
      <w:bookmarkStart w:name="_TOC_250017" w:id="5"/>
      <w:bookmarkEnd w:id="5"/>
      <w:r>
        <w:rPr>
          <w:b w:val="0"/>
        </w:rPr>
        <w:t>Part 1 - Existing Land Use</w:t>
      </w:r>
    </w:p>
    <w:p>
      <w:pPr>
        <w:pStyle w:val="BodyText"/>
        <w:spacing w:before="4"/>
        <w:rPr>
          <w:rFonts w:ascii="Calibri Light"/>
          <w:b w:val="0"/>
        </w:rPr>
      </w:pPr>
    </w:p>
    <w:p>
      <w:pPr>
        <w:pStyle w:val="ListParagraph"/>
        <w:numPr>
          <w:ilvl w:val="0"/>
          <w:numId w:val="1"/>
        </w:numPr>
        <w:tabs>
          <w:tab w:pos="1710" w:val="left" w:leader="none"/>
        </w:tabs>
        <w:spacing w:line="240" w:lineRule="auto" w:before="0" w:after="0"/>
        <w:ind w:left="1709" w:right="1408" w:hanging="360"/>
        <w:jc w:val="both"/>
        <w:rPr>
          <w:sz w:val="24"/>
        </w:rPr>
      </w:pPr>
      <w:r>
        <w:rPr>
          <w:sz w:val="24"/>
        </w:rPr>
        <w:t>The subject property is </w:t>
      </w:r>
      <w:r>
        <w:rPr>
          <w:b/>
          <w:i/>
          <w:sz w:val="24"/>
        </w:rPr>
        <w:t>4.4979 acres in size </w:t>
      </w:r>
      <w:r>
        <w:rPr>
          <w:sz w:val="24"/>
        </w:rPr>
        <w:t>and is contained within the boundary of the Westview Community Cemetery located on West Copans Road in the City of Pompano Beach.</w:t>
      </w:r>
    </w:p>
    <w:p>
      <w:pPr>
        <w:pStyle w:val="ListParagraph"/>
        <w:numPr>
          <w:ilvl w:val="0"/>
          <w:numId w:val="1"/>
        </w:numPr>
        <w:tabs>
          <w:tab w:pos="1710" w:val="left" w:leader="none"/>
        </w:tabs>
        <w:spacing w:line="240" w:lineRule="auto" w:before="0" w:after="0"/>
        <w:ind w:left="1709" w:right="1407" w:hanging="360"/>
        <w:jc w:val="both"/>
        <w:rPr>
          <w:sz w:val="24"/>
        </w:rPr>
      </w:pPr>
      <w:r>
        <w:rPr>
          <w:sz w:val="24"/>
        </w:rPr>
        <w:t>The property is vacant land and does not contain any burials or other cemetery related facilities or</w:t>
      </w:r>
      <w:r>
        <w:rPr>
          <w:spacing w:val="-1"/>
          <w:sz w:val="24"/>
        </w:rPr>
        <w:t> </w:t>
      </w:r>
      <w:r>
        <w:rPr>
          <w:sz w:val="24"/>
        </w:rPr>
        <w:t>buildings.</w:t>
      </w:r>
    </w:p>
    <w:p>
      <w:pPr>
        <w:pStyle w:val="ListParagraph"/>
        <w:numPr>
          <w:ilvl w:val="0"/>
          <w:numId w:val="1"/>
        </w:numPr>
        <w:tabs>
          <w:tab w:pos="1710" w:val="left" w:leader="none"/>
        </w:tabs>
        <w:spacing w:line="240" w:lineRule="auto" w:before="0" w:after="0"/>
        <w:ind w:left="1709" w:right="1407" w:hanging="360"/>
        <w:jc w:val="both"/>
        <w:rPr>
          <w:sz w:val="24"/>
        </w:rPr>
      </w:pPr>
      <w:r>
        <w:rPr>
          <w:sz w:val="24"/>
        </w:rPr>
        <w:t>With</w:t>
      </w:r>
      <w:r>
        <w:rPr>
          <w:spacing w:val="-5"/>
          <w:sz w:val="24"/>
        </w:rPr>
        <w:t> </w:t>
      </w:r>
      <w:r>
        <w:rPr>
          <w:sz w:val="24"/>
        </w:rPr>
        <w:t>the</w:t>
      </w:r>
      <w:r>
        <w:rPr>
          <w:spacing w:val="-5"/>
          <w:sz w:val="24"/>
        </w:rPr>
        <w:t> </w:t>
      </w:r>
      <w:r>
        <w:rPr>
          <w:sz w:val="24"/>
        </w:rPr>
        <w:t>exception</w:t>
      </w:r>
      <w:r>
        <w:rPr>
          <w:spacing w:val="-4"/>
          <w:sz w:val="24"/>
        </w:rPr>
        <w:t> </w:t>
      </w:r>
      <w:r>
        <w:rPr>
          <w:sz w:val="24"/>
        </w:rPr>
        <w:t>of</w:t>
      </w:r>
      <w:r>
        <w:rPr>
          <w:spacing w:val="-5"/>
          <w:sz w:val="24"/>
        </w:rPr>
        <w:t> </w:t>
      </w:r>
      <w:r>
        <w:rPr>
          <w:sz w:val="24"/>
        </w:rPr>
        <w:t>the</w:t>
      </w:r>
      <w:r>
        <w:rPr>
          <w:spacing w:val="-5"/>
          <w:sz w:val="24"/>
        </w:rPr>
        <w:t> </w:t>
      </w:r>
      <w:r>
        <w:rPr>
          <w:sz w:val="24"/>
        </w:rPr>
        <w:t>cemetery</w:t>
      </w:r>
      <w:r>
        <w:rPr>
          <w:spacing w:val="-5"/>
          <w:sz w:val="24"/>
        </w:rPr>
        <w:t> </w:t>
      </w:r>
      <w:r>
        <w:rPr>
          <w:sz w:val="24"/>
        </w:rPr>
        <w:t>property,</w:t>
      </w:r>
      <w:r>
        <w:rPr>
          <w:spacing w:val="-4"/>
          <w:sz w:val="24"/>
        </w:rPr>
        <w:t> </w:t>
      </w:r>
      <w:r>
        <w:rPr>
          <w:sz w:val="24"/>
        </w:rPr>
        <w:t>all</w:t>
      </w:r>
      <w:r>
        <w:rPr>
          <w:spacing w:val="-5"/>
          <w:sz w:val="24"/>
        </w:rPr>
        <w:t> </w:t>
      </w:r>
      <w:r>
        <w:rPr>
          <w:sz w:val="24"/>
        </w:rPr>
        <w:t>other</w:t>
      </w:r>
      <w:r>
        <w:rPr>
          <w:spacing w:val="-5"/>
          <w:sz w:val="24"/>
        </w:rPr>
        <w:t> </w:t>
      </w:r>
      <w:r>
        <w:rPr>
          <w:sz w:val="24"/>
        </w:rPr>
        <w:t>properties</w:t>
      </w:r>
      <w:r>
        <w:rPr>
          <w:spacing w:val="-4"/>
          <w:sz w:val="24"/>
        </w:rPr>
        <w:t> </w:t>
      </w:r>
      <w:r>
        <w:rPr>
          <w:sz w:val="24"/>
        </w:rPr>
        <w:t>adjacent</w:t>
      </w:r>
      <w:r>
        <w:rPr>
          <w:spacing w:val="-5"/>
          <w:sz w:val="24"/>
        </w:rPr>
        <w:t> </w:t>
      </w:r>
      <w:r>
        <w:rPr>
          <w:sz w:val="24"/>
        </w:rPr>
        <w:t>to</w:t>
      </w:r>
      <w:r>
        <w:rPr>
          <w:spacing w:val="-5"/>
          <w:sz w:val="24"/>
        </w:rPr>
        <w:t> </w:t>
      </w:r>
      <w:r>
        <w:rPr>
          <w:sz w:val="24"/>
        </w:rPr>
        <w:t>the</w:t>
      </w:r>
      <w:r>
        <w:rPr>
          <w:spacing w:val="-4"/>
          <w:sz w:val="24"/>
        </w:rPr>
        <w:t> </w:t>
      </w:r>
      <w:r>
        <w:rPr>
          <w:sz w:val="24"/>
        </w:rPr>
        <w:t>subject site are used primarily for industrial and heavy commercial</w:t>
      </w:r>
      <w:r>
        <w:rPr>
          <w:spacing w:val="-3"/>
          <w:sz w:val="24"/>
        </w:rPr>
        <w:t> </w:t>
      </w:r>
      <w:r>
        <w:rPr>
          <w:sz w:val="24"/>
        </w:rPr>
        <w:t>uses.</w:t>
      </w:r>
    </w:p>
    <w:p>
      <w:pPr>
        <w:pStyle w:val="BodyText"/>
        <w:spacing w:before="8"/>
        <w:rPr>
          <w:sz w:val="26"/>
        </w:rPr>
      </w:pPr>
    </w:p>
    <w:p>
      <w:pPr>
        <w:pStyle w:val="Heading2"/>
        <w:ind w:left="989"/>
        <w:rPr>
          <w:b w:val="0"/>
        </w:rPr>
      </w:pPr>
      <w:bookmarkStart w:name="_TOC_250016" w:id="6"/>
      <w:bookmarkEnd w:id="6"/>
      <w:r>
        <w:rPr>
          <w:b w:val="0"/>
        </w:rPr>
        <w:t>Part 2 - Explanation of Need</w:t>
      </w:r>
    </w:p>
    <w:p>
      <w:pPr>
        <w:pStyle w:val="BodyText"/>
        <w:spacing w:before="9"/>
        <w:rPr>
          <w:rFonts w:ascii="Calibri Light"/>
          <w:b w:val="0"/>
        </w:rPr>
      </w:pPr>
    </w:p>
    <w:p>
      <w:pPr>
        <w:pStyle w:val="BodyText"/>
        <w:ind w:left="1709" w:right="1408"/>
        <w:jc w:val="both"/>
      </w:pPr>
      <w:r>
        <w:rPr/>
        <w:t>The proposed use of the subject property is “general industrial”, which would allow the property to be developed for light industrial uses, such as manufacturing, assembly, fabrication,</w:t>
      </w:r>
      <w:r>
        <w:rPr>
          <w:spacing w:val="-9"/>
        </w:rPr>
        <w:t> </w:t>
      </w:r>
      <w:r>
        <w:rPr/>
        <w:t>processing,</w:t>
      </w:r>
      <w:r>
        <w:rPr>
          <w:spacing w:val="-9"/>
        </w:rPr>
        <w:t> </w:t>
      </w:r>
      <w:r>
        <w:rPr/>
        <w:t>distribution,</w:t>
      </w:r>
      <w:r>
        <w:rPr>
          <w:spacing w:val="-9"/>
        </w:rPr>
        <w:t> </w:t>
      </w:r>
      <w:r>
        <w:rPr/>
        <w:t>warehousing,</w:t>
      </w:r>
      <w:r>
        <w:rPr>
          <w:spacing w:val="-8"/>
        </w:rPr>
        <w:t> </w:t>
      </w:r>
      <w:r>
        <w:rPr/>
        <w:t>research</w:t>
      </w:r>
      <w:r>
        <w:rPr>
          <w:spacing w:val="-9"/>
        </w:rPr>
        <w:t> </w:t>
      </w:r>
      <w:r>
        <w:rPr/>
        <w:t>and</w:t>
      </w:r>
      <w:r>
        <w:rPr>
          <w:spacing w:val="-3"/>
        </w:rPr>
        <w:t> </w:t>
      </w:r>
      <w:r>
        <w:rPr/>
        <w:t>development</w:t>
      </w:r>
      <w:r>
        <w:rPr>
          <w:spacing w:val="-2"/>
        </w:rPr>
        <w:t> </w:t>
      </w:r>
      <w:r>
        <w:rPr/>
        <w:t>,</w:t>
      </w:r>
      <w:r>
        <w:rPr>
          <w:spacing w:val="-9"/>
        </w:rPr>
        <w:t> </w:t>
      </w:r>
      <w:r>
        <w:rPr/>
        <w:t>and</w:t>
      </w:r>
      <w:r>
        <w:rPr>
          <w:spacing w:val="-9"/>
        </w:rPr>
        <w:t> </w:t>
      </w:r>
      <w:r>
        <w:rPr/>
        <w:t>other industrial</w:t>
      </w:r>
      <w:r>
        <w:rPr>
          <w:spacing w:val="-5"/>
        </w:rPr>
        <w:t> </w:t>
      </w:r>
      <w:r>
        <w:rPr/>
        <w:t>uses,</w:t>
      </w:r>
      <w:r>
        <w:rPr>
          <w:spacing w:val="-5"/>
        </w:rPr>
        <w:t> </w:t>
      </w:r>
      <w:r>
        <w:rPr/>
        <w:t>but</w:t>
      </w:r>
      <w:r>
        <w:rPr>
          <w:spacing w:val="-5"/>
        </w:rPr>
        <w:t> </w:t>
      </w:r>
      <w:r>
        <w:rPr/>
        <w:t>not</w:t>
      </w:r>
      <w:r>
        <w:rPr>
          <w:spacing w:val="-5"/>
        </w:rPr>
        <w:t> </w:t>
      </w:r>
      <w:r>
        <w:rPr/>
        <w:t>heavy</w:t>
      </w:r>
      <w:r>
        <w:rPr>
          <w:spacing w:val="-5"/>
        </w:rPr>
        <w:t> </w:t>
      </w:r>
      <w:r>
        <w:rPr/>
        <w:t>or</w:t>
      </w:r>
      <w:r>
        <w:rPr>
          <w:spacing w:val="-5"/>
        </w:rPr>
        <w:t> </w:t>
      </w:r>
      <w:r>
        <w:rPr/>
        <w:t>hazardous</w:t>
      </w:r>
      <w:r>
        <w:rPr>
          <w:spacing w:val="-5"/>
        </w:rPr>
        <w:t> </w:t>
      </w:r>
      <w:r>
        <w:rPr/>
        <w:t>manufacturing</w:t>
      </w:r>
      <w:r>
        <w:rPr>
          <w:spacing w:val="-5"/>
        </w:rPr>
        <w:t> </w:t>
      </w:r>
      <w:r>
        <w:rPr/>
        <w:t>processes,</w:t>
      </w:r>
      <w:r>
        <w:rPr>
          <w:spacing w:val="-5"/>
        </w:rPr>
        <w:t> </w:t>
      </w:r>
      <w:r>
        <w:rPr/>
        <w:t>consistent</w:t>
      </w:r>
      <w:r>
        <w:rPr>
          <w:spacing w:val="-5"/>
        </w:rPr>
        <w:t> </w:t>
      </w:r>
      <w:r>
        <w:rPr/>
        <w:t>with</w:t>
      </w:r>
      <w:r>
        <w:rPr>
          <w:spacing w:val="-5"/>
        </w:rPr>
        <w:t> </w:t>
      </w:r>
      <w:r>
        <w:rPr/>
        <w:t>the I-1 General Industrial zoning of the surrounding area, as reflected in Table 1 of this application.</w:t>
      </w:r>
    </w:p>
    <w:p>
      <w:pPr>
        <w:pStyle w:val="BodyText"/>
        <w:spacing w:before="11"/>
        <w:rPr>
          <w:sz w:val="23"/>
        </w:rPr>
      </w:pPr>
    </w:p>
    <w:p>
      <w:pPr>
        <w:pStyle w:val="BodyText"/>
        <w:ind w:left="1709" w:right="1407"/>
        <w:jc w:val="both"/>
      </w:pPr>
      <w:r>
        <w:rPr/>
        <w:t>The</w:t>
      </w:r>
      <w:r>
        <w:rPr>
          <w:spacing w:val="-8"/>
        </w:rPr>
        <w:t> </w:t>
      </w:r>
      <w:r>
        <w:rPr/>
        <w:t>change</w:t>
      </w:r>
      <w:r>
        <w:rPr>
          <w:spacing w:val="-7"/>
        </w:rPr>
        <w:t> </w:t>
      </w:r>
      <w:r>
        <w:rPr/>
        <w:t>in</w:t>
      </w:r>
      <w:r>
        <w:rPr>
          <w:spacing w:val="-7"/>
        </w:rPr>
        <w:t> </w:t>
      </w:r>
      <w:r>
        <w:rPr/>
        <w:t>land</w:t>
      </w:r>
      <w:r>
        <w:rPr>
          <w:spacing w:val="-8"/>
        </w:rPr>
        <w:t> </w:t>
      </w:r>
      <w:r>
        <w:rPr/>
        <w:t>use</w:t>
      </w:r>
      <w:r>
        <w:rPr>
          <w:spacing w:val="-7"/>
        </w:rPr>
        <w:t> </w:t>
      </w:r>
      <w:r>
        <w:rPr/>
        <w:t>and</w:t>
      </w:r>
      <w:r>
        <w:rPr>
          <w:spacing w:val="-7"/>
        </w:rPr>
        <w:t> </w:t>
      </w:r>
      <w:r>
        <w:rPr/>
        <w:t>zoning</w:t>
      </w:r>
      <w:r>
        <w:rPr>
          <w:spacing w:val="-8"/>
        </w:rPr>
        <w:t> </w:t>
      </w:r>
      <w:r>
        <w:rPr/>
        <w:t>of</w:t>
      </w:r>
      <w:r>
        <w:rPr>
          <w:spacing w:val="-7"/>
        </w:rPr>
        <w:t> </w:t>
      </w:r>
      <w:r>
        <w:rPr/>
        <w:t>the</w:t>
      </w:r>
      <w:r>
        <w:rPr>
          <w:spacing w:val="-7"/>
        </w:rPr>
        <w:t> </w:t>
      </w:r>
      <w:r>
        <w:rPr/>
        <w:t>subject</w:t>
      </w:r>
      <w:r>
        <w:rPr>
          <w:spacing w:val="-8"/>
        </w:rPr>
        <w:t> </w:t>
      </w:r>
      <w:r>
        <w:rPr/>
        <w:t>property</w:t>
      </w:r>
      <w:r>
        <w:rPr>
          <w:spacing w:val="-7"/>
        </w:rPr>
        <w:t> </w:t>
      </w:r>
      <w:r>
        <w:rPr/>
        <w:t>will</w:t>
      </w:r>
      <w:r>
        <w:rPr>
          <w:spacing w:val="-7"/>
        </w:rPr>
        <w:t> </w:t>
      </w:r>
      <w:r>
        <w:rPr/>
        <w:t>allow</w:t>
      </w:r>
      <w:r>
        <w:rPr>
          <w:spacing w:val="-8"/>
        </w:rPr>
        <w:t> </w:t>
      </w:r>
      <w:r>
        <w:rPr/>
        <w:t>the</w:t>
      </w:r>
      <w:r>
        <w:rPr>
          <w:spacing w:val="-7"/>
        </w:rPr>
        <w:t> </w:t>
      </w:r>
      <w:r>
        <w:rPr/>
        <w:t>site</w:t>
      </w:r>
      <w:r>
        <w:rPr>
          <w:spacing w:val="-7"/>
        </w:rPr>
        <w:t> </w:t>
      </w:r>
      <w:r>
        <w:rPr/>
        <w:t>to</w:t>
      </w:r>
      <w:r>
        <w:rPr>
          <w:spacing w:val="-7"/>
        </w:rPr>
        <w:t> </w:t>
      </w:r>
      <w:r>
        <w:rPr/>
        <w:t>be</w:t>
      </w:r>
      <w:r>
        <w:rPr>
          <w:spacing w:val="-7"/>
        </w:rPr>
        <w:t> </w:t>
      </w:r>
      <w:r>
        <w:rPr/>
        <w:t>sold</w:t>
      </w:r>
      <w:r>
        <w:rPr>
          <w:spacing w:val="-7"/>
        </w:rPr>
        <w:t> </w:t>
      </w:r>
      <w:r>
        <w:rPr/>
        <w:t>for development as an industrial use, the proceeds from which will allow the remaining portion of the cemetery to be</w:t>
      </w:r>
      <w:r>
        <w:rPr>
          <w:spacing w:val="-1"/>
        </w:rPr>
        <w:t> </w:t>
      </w:r>
      <w:r>
        <w:rPr/>
        <w:t>improved.</w:t>
      </w:r>
    </w:p>
    <w:p>
      <w:pPr>
        <w:pStyle w:val="BodyText"/>
        <w:spacing w:before="6"/>
        <w:rPr>
          <w:sz w:val="25"/>
        </w:rPr>
      </w:pPr>
    </w:p>
    <w:p>
      <w:pPr>
        <w:pStyle w:val="Heading2"/>
        <w:ind w:left="989"/>
        <w:rPr>
          <w:b w:val="0"/>
        </w:rPr>
      </w:pPr>
      <w:bookmarkStart w:name="_TOC_250015" w:id="7"/>
      <w:bookmarkEnd w:id="7"/>
      <w:r>
        <w:rPr>
          <w:b w:val="0"/>
        </w:rPr>
        <w:t>Part 3 -Future Land Use</w:t>
      </w:r>
    </w:p>
    <w:p>
      <w:pPr>
        <w:pStyle w:val="BodyText"/>
        <w:spacing w:before="10"/>
        <w:rPr>
          <w:rFonts w:ascii="Calibri Light"/>
          <w:b w:val="0"/>
          <w:sz w:val="29"/>
        </w:rPr>
      </w:pPr>
    </w:p>
    <w:p>
      <w:pPr>
        <w:pStyle w:val="ListParagraph"/>
        <w:numPr>
          <w:ilvl w:val="0"/>
          <w:numId w:val="2"/>
        </w:numPr>
        <w:tabs>
          <w:tab w:pos="1710" w:val="left" w:leader="none"/>
        </w:tabs>
        <w:spacing w:line="240" w:lineRule="auto" w:before="0" w:after="0"/>
        <w:ind w:left="1709" w:right="1408" w:hanging="360"/>
        <w:jc w:val="both"/>
        <w:rPr>
          <w:sz w:val="24"/>
        </w:rPr>
      </w:pPr>
      <w:r>
        <w:rPr>
          <w:sz w:val="24"/>
        </w:rPr>
        <w:t>The existing designation of the subject property under the City of Pompano Beach adopted and certified municipal land use plan is Community Facility (CF). It is designated PR (Parks and Recreation) on the County Land Use</w:t>
      </w:r>
      <w:r>
        <w:rPr>
          <w:spacing w:val="-2"/>
          <w:sz w:val="24"/>
        </w:rPr>
        <w:t> </w:t>
      </w:r>
      <w:r>
        <w:rPr>
          <w:sz w:val="24"/>
        </w:rPr>
        <w:t>Plan.</w:t>
      </w:r>
    </w:p>
    <w:p>
      <w:pPr>
        <w:pStyle w:val="ListParagraph"/>
        <w:numPr>
          <w:ilvl w:val="0"/>
          <w:numId w:val="2"/>
        </w:numPr>
        <w:tabs>
          <w:tab w:pos="1710" w:val="left" w:leader="none"/>
        </w:tabs>
        <w:spacing w:line="240" w:lineRule="auto" w:before="0" w:after="0"/>
        <w:ind w:left="1709" w:right="1407" w:hanging="360"/>
        <w:jc w:val="both"/>
        <w:rPr>
          <w:sz w:val="24"/>
        </w:rPr>
      </w:pPr>
      <w:r>
        <w:rPr>
          <w:sz w:val="24"/>
        </w:rPr>
        <w:t>A small-scale future land use map amendment has been filed with the City and </w:t>
      </w:r>
      <w:r>
        <w:rPr>
          <w:spacing w:val="-4"/>
          <w:sz w:val="24"/>
        </w:rPr>
        <w:t>the </w:t>
      </w:r>
      <w:r>
        <w:rPr>
          <w:sz w:val="24"/>
        </w:rPr>
        <w:t>County, proposing a change in land use as</w:t>
      </w:r>
      <w:r>
        <w:rPr>
          <w:spacing w:val="-1"/>
          <w:sz w:val="24"/>
        </w:rPr>
        <w:t> </w:t>
      </w:r>
      <w:r>
        <w:rPr>
          <w:sz w:val="24"/>
        </w:rPr>
        <w:t>follows:</w:t>
      </w:r>
    </w:p>
    <w:p>
      <w:pPr>
        <w:pStyle w:val="ListParagraph"/>
        <w:numPr>
          <w:ilvl w:val="1"/>
          <w:numId w:val="2"/>
        </w:numPr>
        <w:tabs>
          <w:tab w:pos="2430" w:val="left" w:leader="none"/>
        </w:tabs>
        <w:spacing w:line="240" w:lineRule="auto" w:before="0" w:after="0"/>
        <w:ind w:left="2429" w:right="1407" w:hanging="360"/>
        <w:jc w:val="both"/>
        <w:rPr>
          <w:sz w:val="24"/>
        </w:rPr>
      </w:pPr>
      <w:r>
        <w:rPr>
          <w:sz w:val="24"/>
        </w:rPr>
        <w:t>The City of Pompano Beach adopted Future Land Use Map designation for the property is CF (Community Facility). It is designated Recreation and Open Space on the County Land Use</w:t>
      </w:r>
      <w:r>
        <w:rPr>
          <w:spacing w:val="-2"/>
          <w:sz w:val="24"/>
        </w:rPr>
        <w:t> </w:t>
      </w:r>
      <w:r>
        <w:rPr>
          <w:sz w:val="24"/>
        </w:rPr>
        <w:t>Plan.</w:t>
      </w:r>
    </w:p>
    <w:p>
      <w:pPr>
        <w:pStyle w:val="ListParagraph"/>
        <w:numPr>
          <w:ilvl w:val="1"/>
          <w:numId w:val="2"/>
        </w:numPr>
        <w:tabs>
          <w:tab w:pos="2430" w:val="left" w:leader="none"/>
        </w:tabs>
        <w:spacing w:line="240" w:lineRule="auto" w:before="0" w:after="0"/>
        <w:ind w:left="2429" w:right="1407" w:hanging="360"/>
        <w:jc w:val="both"/>
        <w:rPr>
          <w:sz w:val="24"/>
        </w:rPr>
      </w:pPr>
      <w:r>
        <w:rPr>
          <w:sz w:val="24"/>
        </w:rPr>
        <w:t>The proposed land use designation for the City’s Plan is Industrial (I) and Commerce (C) for the County’s Plan consistent with the surrounding land</w:t>
      </w:r>
      <w:r>
        <w:rPr>
          <w:spacing w:val="-7"/>
          <w:sz w:val="24"/>
        </w:rPr>
        <w:t> </w:t>
      </w:r>
      <w:r>
        <w:rPr>
          <w:sz w:val="24"/>
        </w:rPr>
        <w:t>uses.</w:t>
      </w:r>
    </w:p>
    <w:p>
      <w:pPr>
        <w:pStyle w:val="ListParagraph"/>
        <w:numPr>
          <w:ilvl w:val="1"/>
          <w:numId w:val="2"/>
        </w:numPr>
        <w:tabs>
          <w:tab w:pos="2430" w:val="left" w:leader="none"/>
        </w:tabs>
        <w:spacing w:line="240" w:lineRule="auto" w:before="0" w:after="0"/>
        <w:ind w:left="2429" w:right="1407" w:hanging="360"/>
        <w:jc w:val="both"/>
        <w:rPr>
          <w:sz w:val="24"/>
        </w:rPr>
      </w:pPr>
      <w:r>
        <w:rPr>
          <w:sz w:val="24"/>
        </w:rPr>
        <w:t>The County Plan permits Industrial uses, if it is determined by the local government</w:t>
      </w:r>
      <w:r>
        <w:rPr>
          <w:spacing w:val="33"/>
          <w:sz w:val="24"/>
        </w:rPr>
        <w:t> </w:t>
      </w:r>
      <w:r>
        <w:rPr>
          <w:sz w:val="24"/>
        </w:rPr>
        <w:t>that</w:t>
      </w:r>
      <w:r>
        <w:rPr>
          <w:spacing w:val="34"/>
          <w:sz w:val="24"/>
        </w:rPr>
        <w:t> </w:t>
      </w:r>
      <w:r>
        <w:rPr>
          <w:sz w:val="24"/>
        </w:rPr>
        <w:t>such</w:t>
      </w:r>
      <w:r>
        <w:rPr>
          <w:spacing w:val="34"/>
          <w:sz w:val="24"/>
        </w:rPr>
        <w:t> </w:t>
      </w:r>
      <w:r>
        <w:rPr>
          <w:sz w:val="24"/>
        </w:rPr>
        <w:t>use</w:t>
      </w:r>
      <w:r>
        <w:rPr>
          <w:spacing w:val="34"/>
          <w:sz w:val="24"/>
        </w:rPr>
        <w:t> </w:t>
      </w:r>
      <w:r>
        <w:rPr>
          <w:sz w:val="24"/>
        </w:rPr>
        <w:t>us</w:t>
      </w:r>
      <w:r>
        <w:rPr>
          <w:spacing w:val="34"/>
          <w:sz w:val="24"/>
        </w:rPr>
        <w:t> </w:t>
      </w:r>
      <w:r>
        <w:rPr>
          <w:sz w:val="24"/>
        </w:rPr>
        <w:t>compatible</w:t>
      </w:r>
      <w:r>
        <w:rPr>
          <w:spacing w:val="34"/>
          <w:sz w:val="24"/>
        </w:rPr>
        <w:t> </w:t>
      </w:r>
      <w:r>
        <w:rPr>
          <w:sz w:val="24"/>
        </w:rPr>
        <w:t>with</w:t>
      </w:r>
      <w:r>
        <w:rPr>
          <w:spacing w:val="34"/>
          <w:sz w:val="24"/>
        </w:rPr>
        <w:t> </w:t>
      </w:r>
      <w:r>
        <w:rPr>
          <w:sz w:val="24"/>
        </w:rPr>
        <w:t>surrounding</w:t>
      </w:r>
      <w:r>
        <w:rPr>
          <w:spacing w:val="33"/>
          <w:sz w:val="24"/>
        </w:rPr>
        <w:t> </w:t>
      </w:r>
      <w:r>
        <w:rPr>
          <w:sz w:val="24"/>
        </w:rPr>
        <w:t>planned</w:t>
      </w:r>
      <w:r>
        <w:rPr>
          <w:spacing w:val="34"/>
          <w:sz w:val="24"/>
        </w:rPr>
        <w:t> </w:t>
      </w:r>
      <w:r>
        <w:rPr>
          <w:sz w:val="24"/>
        </w:rPr>
        <w:t>land</w:t>
      </w:r>
      <w:r>
        <w:rPr>
          <w:spacing w:val="34"/>
          <w:sz w:val="24"/>
        </w:rPr>
        <w:t> </w:t>
      </w:r>
      <w:r>
        <w:rPr>
          <w:sz w:val="24"/>
        </w:rPr>
        <w:t>uses,</w:t>
      </w:r>
    </w:p>
    <w:p>
      <w:pPr>
        <w:spacing w:after="0" w:line="240" w:lineRule="auto"/>
        <w:jc w:val="both"/>
        <w:rPr>
          <w:sz w:val="24"/>
        </w:rPr>
        <w:sectPr>
          <w:pgSz w:w="12240" w:h="15840"/>
          <w:pgMar w:header="0" w:footer="901" w:top="1360" w:bottom="1100" w:left="460" w:right="20"/>
        </w:sectPr>
      </w:pPr>
    </w:p>
    <w:p>
      <w:pPr>
        <w:pStyle w:val="BodyText"/>
        <w:spacing w:before="71"/>
        <w:ind w:left="2429" w:right="1406"/>
      </w:pPr>
      <w:r>
        <w:rPr/>
        <w:t>such</w:t>
      </w:r>
      <w:r>
        <w:rPr>
          <w:spacing w:val="-13"/>
        </w:rPr>
        <w:t> </w:t>
      </w:r>
      <w:r>
        <w:rPr/>
        <w:t>as</w:t>
      </w:r>
      <w:r>
        <w:rPr>
          <w:spacing w:val="-13"/>
        </w:rPr>
        <w:t> </w:t>
      </w:r>
      <w:r>
        <w:rPr/>
        <w:t>manufacturing,</w:t>
      </w:r>
      <w:r>
        <w:rPr>
          <w:spacing w:val="-13"/>
        </w:rPr>
        <w:t> </w:t>
      </w:r>
      <w:r>
        <w:rPr/>
        <w:t>wholesaling,</w:t>
      </w:r>
      <w:r>
        <w:rPr>
          <w:spacing w:val="-13"/>
        </w:rPr>
        <w:t> </w:t>
      </w:r>
      <w:r>
        <w:rPr/>
        <w:t>and</w:t>
      </w:r>
      <w:r>
        <w:rPr>
          <w:spacing w:val="-13"/>
        </w:rPr>
        <w:t> </w:t>
      </w:r>
      <w:r>
        <w:rPr/>
        <w:t>storage,</w:t>
      </w:r>
      <w:r>
        <w:rPr>
          <w:spacing w:val="-13"/>
        </w:rPr>
        <w:t> </w:t>
      </w:r>
      <w:r>
        <w:rPr/>
        <w:t>warehouse,</w:t>
      </w:r>
      <w:r>
        <w:rPr>
          <w:spacing w:val="-13"/>
        </w:rPr>
        <w:t> </w:t>
      </w:r>
      <w:r>
        <w:rPr/>
        <w:t>as</w:t>
      </w:r>
      <w:r>
        <w:rPr>
          <w:spacing w:val="-13"/>
        </w:rPr>
        <w:t> </w:t>
      </w:r>
      <w:r>
        <w:rPr/>
        <w:t>is</w:t>
      </w:r>
      <w:r>
        <w:rPr>
          <w:spacing w:val="-13"/>
        </w:rPr>
        <w:t> </w:t>
      </w:r>
      <w:r>
        <w:rPr/>
        <w:t>being</w:t>
      </w:r>
      <w:r>
        <w:rPr>
          <w:spacing w:val="-13"/>
        </w:rPr>
        <w:t> </w:t>
      </w:r>
      <w:r>
        <w:rPr/>
        <w:t>proposed for the subject</w:t>
      </w:r>
      <w:r>
        <w:rPr>
          <w:spacing w:val="-1"/>
        </w:rPr>
        <w:t> </w:t>
      </w:r>
      <w:r>
        <w:rPr/>
        <w:t>property.</w:t>
      </w:r>
    </w:p>
    <w:p>
      <w:pPr>
        <w:pStyle w:val="BodyText"/>
        <w:spacing w:before="10"/>
        <w:rPr>
          <w:sz w:val="23"/>
        </w:rPr>
      </w:pPr>
    </w:p>
    <w:tbl>
      <w:tblPr>
        <w:tblW w:w="0" w:type="auto"/>
        <w:jc w:val="left"/>
        <w:tblInd w:w="8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45"/>
        <w:gridCol w:w="2141"/>
        <w:gridCol w:w="1579"/>
        <w:gridCol w:w="1502"/>
        <w:gridCol w:w="1377"/>
        <w:gridCol w:w="1492"/>
      </w:tblGrid>
      <w:tr>
        <w:trPr>
          <w:trHeight w:val="244" w:hRule="atLeast"/>
        </w:trPr>
        <w:tc>
          <w:tcPr>
            <w:tcW w:w="1445" w:type="dxa"/>
            <w:vMerge w:val="restart"/>
          </w:tcPr>
          <w:p>
            <w:pPr>
              <w:pStyle w:val="TableParagraph"/>
              <w:ind w:left="0"/>
              <w:rPr>
                <w:sz w:val="22"/>
              </w:rPr>
            </w:pPr>
          </w:p>
        </w:tc>
        <w:tc>
          <w:tcPr>
            <w:tcW w:w="8091" w:type="dxa"/>
            <w:gridSpan w:val="5"/>
          </w:tcPr>
          <w:p>
            <w:pPr>
              <w:pStyle w:val="TableParagraph"/>
              <w:spacing w:line="223" w:lineRule="exact" w:before="1"/>
              <w:ind w:left="2997" w:right="2989"/>
              <w:jc w:val="center"/>
              <w:rPr>
                <w:rFonts w:ascii="Calibri"/>
                <w:b/>
                <w:sz w:val="20"/>
              </w:rPr>
            </w:pPr>
            <w:r>
              <w:rPr>
                <w:rFonts w:ascii="Calibri"/>
                <w:b/>
                <w:sz w:val="20"/>
              </w:rPr>
              <w:t>Table 1- Future Land Use</w:t>
            </w:r>
          </w:p>
        </w:tc>
      </w:tr>
      <w:tr>
        <w:trPr>
          <w:trHeight w:val="734" w:hRule="atLeast"/>
        </w:trPr>
        <w:tc>
          <w:tcPr>
            <w:tcW w:w="1445" w:type="dxa"/>
            <w:vMerge/>
            <w:tcBorders>
              <w:top w:val="nil"/>
            </w:tcBorders>
          </w:tcPr>
          <w:p>
            <w:pPr>
              <w:rPr>
                <w:sz w:val="2"/>
                <w:szCs w:val="2"/>
              </w:rPr>
            </w:pPr>
          </w:p>
        </w:tc>
        <w:tc>
          <w:tcPr>
            <w:tcW w:w="2141" w:type="dxa"/>
          </w:tcPr>
          <w:p>
            <w:pPr>
              <w:pStyle w:val="TableParagraph"/>
              <w:spacing w:line="240" w:lineRule="atLeast" w:before="1"/>
              <w:ind w:right="140"/>
              <w:rPr>
                <w:rFonts w:ascii="Calibri"/>
                <w:b/>
                <w:sz w:val="20"/>
              </w:rPr>
            </w:pPr>
            <w:r>
              <w:rPr>
                <w:rFonts w:ascii="Calibri"/>
                <w:b/>
                <w:sz w:val="20"/>
              </w:rPr>
              <w:t>Future Land Use Designation of Subject Property</w:t>
            </w:r>
          </w:p>
        </w:tc>
        <w:tc>
          <w:tcPr>
            <w:tcW w:w="1579" w:type="dxa"/>
          </w:tcPr>
          <w:p>
            <w:pPr>
              <w:pStyle w:val="TableParagraph"/>
              <w:spacing w:before="1"/>
              <w:rPr>
                <w:rFonts w:ascii="Calibri"/>
                <w:b/>
                <w:sz w:val="20"/>
              </w:rPr>
            </w:pPr>
            <w:r>
              <w:rPr>
                <w:rFonts w:ascii="Calibri"/>
                <w:b/>
                <w:sz w:val="20"/>
              </w:rPr>
              <w:t>North</w:t>
            </w:r>
          </w:p>
        </w:tc>
        <w:tc>
          <w:tcPr>
            <w:tcW w:w="1502" w:type="dxa"/>
          </w:tcPr>
          <w:p>
            <w:pPr>
              <w:pStyle w:val="TableParagraph"/>
              <w:spacing w:before="1"/>
              <w:ind w:left="110"/>
              <w:rPr>
                <w:rFonts w:ascii="Calibri"/>
                <w:b/>
                <w:sz w:val="20"/>
              </w:rPr>
            </w:pPr>
            <w:r>
              <w:rPr>
                <w:rFonts w:ascii="Calibri"/>
                <w:b/>
                <w:sz w:val="20"/>
              </w:rPr>
              <w:t>South</w:t>
            </w:r>
          </w:p>
        </w:tc>
        <w:tc>
          <w:tcPr>
            <w:tcW w:w="1377" w:type="dxa"/>
          </w:tcPr>
          <w:p>
            <w:pPr>
              <w:pStyle w:val="TableParagraph"/>
              <w:spacing w:before="1"/>
              <w:rPr>
                <w:rFonts w:ascii="Calibri"/>
                <w:b/>
                <w:sz w:val="20"/>
              </w:rPr>
            </w:pPr>
            <w:r>
              <w:rPr>
                <w:rFonts w:ascii="Calibri"/>
                <w:b/>
                <w:sz w:val="20"/>
              </w:rPr>
              <w:t>East</w:t>
            </w:r>
          </w:p>
        </w:tc>
        <w:tc>
          <w:tcPr>
            <w:tcW w:w="1492" w:type="dxa"/>
          </w:tcPr>
          <w:p>
            <w:pPr>
              <w:pStyle w:val="TableParagraph"/>
              <w:spacing w:before="1"/>
              <w:ind w:left="106"/>
              <w:rPr>
                <w:rFonts w:ascii="Calibri"/>
                <w:b/>
                <w:sz w:val="20"/>
              </w:rPr>
            </w:pPr>
            <w:r>
              <w:rPr>
                <w:rFonts w:ascii="Calibri"/>
                <w:b/>
                <w:sz w:val="20"/>
              </w:rPr>
              <w:t>West</w:t>
            </w:r>
          </w:p>
        </w:tc>
      </w:tr>
      <w:tr>
        <w:trPr>
          <w:trHeight w:val="729" w:hRule="atLeast"/>
        </w:trPr>
        <w:tc>
          <w:tcPr>
            <w:tcW w:w="1445" w:type="dxa"/>
          </w:tcPr>
          <w:p>
            <w:pPr>
              <w:pStyle w:val="TableParagraph"/>
              <w:spacing w:before="1"/>
              <w:ind w:left="110" w:right="393"/>
              <w:rPr>
                <w:rFonts w:ascii="Calibri"/>
                <w:b/>
                <w:sz w:val="20"/>
              </w:rPr>
            </w:pPr>
            <w:r>
              <w:rPr>
                <w:rFonts w:ascii="Calibri"/>
                <w:b/>
                <w:sz w:val="20"/>
              </w:rPr>
              <w:t>City Future Land Use</w:t>
            </w:r>
          </w:p>
          <w:p>
            <w:pPr>
              <w:pStyle w:val="TableParagraph"/>
              <w:spacing w:line="220" w:lineRule="exact"/>
              <w:ind w:left="110"/>
              <w:rPr>
                <w:rFonts w:ascii="Calibri"/>
                <w:b/>
                <w:sz w:val="20"/>
              </w:rPr>
            </w:pPr>
            <w:r>
              <w:rPr>
                <w:rFonts w:ascii="Calibri"/>
                <w:b/>
                <w:sz w:val="20"/>
              </w:rPr>
              <w:t>Designation</w:t>
            </w:r>
          </w:p>
        </w:tc>
        <w:tc>
          <w:tcPr>
            <w:tcW w:w="2141" w:type="dxa"/>
          </w:tcPr>
          <w:p>
            <w:pPr>
              <w:pStyle w:val="TableParagraph"/>
              <w:spacing w:before="1"/>
              <w:rPr>
                <w:rFonts w:ascii="Calibri"/>
                <w:b/>
                <w:sz w:val="20"/>
              </w:rPr>
            </w:pPr>
            <w:r>
              <w:rPr>
                <w:rFonts w:ascii="Calibri"/>
                <w:b/>
                <w:sz w:val="20"/>
              </w:rPr>
              <w:t>Proposed Industrial (I)</w:t>
            </w:r>
          </w:p>
        </w:tc>
        <w:tc>
          <w:tcPr>
            <w:tcW w:w="1579" w:type="dxa"/>
          </w:tcPr>
          <w:p>
            <w:pPr>
              <w:pStyle w:val="TableParagraph"/>
              <w:spacing w:before="1"/>
              <w:rPr>
                <w:rFonts w:ascii="Calibri"/>
                <w:sz w:val="20"/>
              </w:rPr>
            </w:pPr>
            <w:r>
              <w:rPr>
                <w:rFonts w:ascii="Calibri"/>
                <w:sz w:val="20"/>
              </w:rPr>
              <w:t>Industrial (I)</w:t>
            </w:r>
          </w:p>
        </w:tc>
        <w:tc>
          <w:tcPr>
            <w:tcW w:w="1502" w:type="dxa"/>
          </w:tcPr>
          <w:p>
            <w:pPr>
              <w:pStyle w:val="TableParagraph"/>
              <w:spacing w:before="1"/>
              <w:ind w:left="110"/>
              <w:rPr>
                <w:rFonts w:ascii="Calibri"/>
                <w:sz w:val="20"/>
              </w:rPr>
            </w:pPr>
            <w:r>
              <w:rPr>
                <w:rFonts w:ascii="Calibri"/>
                <w:sz w:val="20"/>
              </w:rPr>
              <w:t>Industrial (I)</w:t>
            </w:r>
          </w:p>
        </w:tc>
        <w:tc>
          <w:tcPr>
            <w:tcW w:w="1377" w:type="dxa"/>
          </w:tcPr>
          <w:p>
            <w:pPr>
              <w:pStyle w:val="TableParagraph"/>
              <w:spacing w:before="1"/>
              <w:rPr>
                <w:rFonts w:ascii="Calibri"/>
                <w:sz w:val="20"/>
              </w:rPr>
            </w:pPr>
            <w:r>
              <w:rPr>
                <w:rFonts w:ascii="Calibri"/>
                <w:sz w:val="20"/>
              </w:rPr>
              <w:t>Industrial (I)</w:t>
            </w:r>
          </w:p>
        </w:tc>
        <w:tc>
          <w:tcPr>
            <w:tcW w:w="1492" w:type="dxa"/>
          </w:tcPr>
          <w:p>
            <w:pPr>
              <w:pStyle w:val="TableParagraph"/>
              <w:spacing w:before="1"/>
              <w:ind w:left="106" w:right="410"/>
              <w:rPr>
                <w:rFonts w:ascii="Calibri"/>
                <w:sz w:val="20"/>
              </w:rPr>
            </w:pPr>
            <w:r>
              <w:rPr>
                <w:rFonts w:ascii="Calibri"/>
                <w:sz w:val="20"/>
              </w:rPr>
              <w:t>Community Facility (CF)</w:t>
            </w:r>
          </w:p>
        </w:tc>
      </w:tr>
      <w:tr>
        <w:trPr>
          <w:trHeight w:val="244" w:hRule="atLeast"/>
        </w:trPr>
        <w:tc>
          <w:tcPr>
            <w:tcW w:w="1445" w:type="dxa"/>
          </w:tcPr>
          <w:p>
            <w:pPr>
              <w:pStyle w:val="TableParagraph"/>
              <w:ind w:left="0"/>
              <w:rPr>
                <w:sz w:val="16"/>
              </w:rPr>
            </w:pPr>
          </w:p>
        </w:tc>
        <w:tc>
          <w:tcPr>
            <w:tcW w:w="2141" w:type="dxa"/>
          </w:tcPr>
          <w:p>
            <w:pPr>
              <w:pStyle w:val="TableParagraph"/>
              <w:ind w:left="0"/>
              <w:rPr>
                <w:sz w:val="16"/>
              </w:rPr>
            </w:pPr>
          </w:p>
        </w:tc>
        <w:tc>
          <w:tcPr>
            <w:tcW w:w="1579" w:type="dxa"/>
          </w:tcPr>
          <w:p>
            <w:pPr>
              <w:pStyle w:val="TableParagraph"/>
              <w:ind w:left="0"/>
              <w:rPr>
                <w:sz w:val="16"/>
              </w:rPr>
            </w:pPr>
          </w:p>
        </w:tc>
        <w:tc>
          <w:tcPr>
            <w:tcW w:w="1502" w:type="dxa"/>
          </w:tcPr>
          <w:p>
            <w:pPr>
              <w:pStyle w:val="TableParagraph"/>
              <w:ind w:left="0"/>
              <w:rPr>
                <w:sz w:val="16"/>
              </w:rPr>
            </w:pPr>
          </w:p>
        </w:tc>
        <w:tc>
          <w:tcPr>
            <w:tcW w:w="1377" w:type="dxa"/>
          </w:tcPr>
          <w:p>
            <w:pPr>
              <w:pStyle w:val="TableParagraph"/>
              <w:ind w:left="0"/>
              <w:rPr>
                <w:sz w:val="16"/>
              </w:rPr>
            </w:pPr>
          </w:p>
        </w:tc>
        <w:tc>
          <w:tcPr>
            <w:tcW w:w="1492" w:type="dxa"/>
          </w:tcPr>
          <w:p>
            <w:pPr>
              <w:pStyle w:val="TableParagraph"/>
              <w:ind w:left="0"/>
              <w:rPr>
                <w:sz w:val="16"/>
              </w:rPr>
            </w:pPr>
          </w:p>
        </w:tc>
      </w:tr>
      <w:tr>
        <w:trPr>
          <w:trHeight w:val="978" w:hRule="atLeast"/>
        </w:trPr>
        <w:tc>
          <w:tcPr>
            <w:tcW w:w="1445" w:type="dxa"/>
          </w:tcPr>
          <w:p>
            <w:pPr>
              <w:pStyle w:val="TableParagraph"/>
              <w:spacing w:before="1"/>
              <w:ind w:left="110" w:right="120"/>
              <w:rPr>
                <w:rFonts w:ascii="Calibri"/>
                <w:b/>
                <w:sz w:val="20"/>
              </w:rPr>
            </w:pPr>
            <w:r>
              <w:rPr>
                <w:rFonts w:ascii="Calibri"/>
                <w:b/>
                <w:sz w:val="20"/>
              </w:rPr>
              <w:t>County Future Land Use Designation</w:t>
            </w:r>
          </w:p>
        </w:tc>
        <w:tc>
          <w:tcPr>
            <w:tcW w:w="2141" w:type="dxa"/>
          </w:tcPr>
          <w:p>
            <w:pPr>
              <w:pStyle w:val="TableParagraph"/>
              <w:spacing w:before="1"/>
              <w:ind w:right="278"/>
              <w:rPr>
                <w:rFonts w:ascii="Calibri"/>
                <w:b/>
                <w:sz w:val="20"/>
              </w:rPr>
            </w:pPr>
            <w:r>
              <w:rPr>
                <w:rFonts w:ascii="Calibri"/>
                <w:b/>
                <w:sz w:val="20"/>
              </w:rPr>
              <w:t>Proposed Commerce (C)</w:t>
            </w:r>
          </w:p>
        </w:tc>
        <w:tc>
          <w:tcPr>
            <w:tcW w:w="1579" w:type="dxa"/>
          </w:tcPr>
          <w:p>
            <w:pPr>
              <w:pStyle w:val="TableParagraph"/>
              <w:spacing w:before="1"/>
              <w:rPr>
                <w:rFonts w:ascii="Calibri"/>
                <w:sz w:val="20"/>
              </w:rPr>
            </w:pPr>
            <w:r>
              <w:rPr>
                <w:rFonts w:ascii="Calibri"/>
                <w:sz w:val="20"/>
              </w:rPr>
              <w:t>Commerce (C)</w:t>
            </w:r>
          </w:p>
        </w:tc>
        <w:tc>
          <w:tcPr>
            <w:tcW w:w="1502" w:type="dxa"/>
          </w:tcPr>
          <w:p>
            <w:pPr>
              <w:pStyle w:val="TableParagraph"/>
              <w:spacing w:before="1"/>
              <w:ind w:left="110"/>
              <w:rPr>
                <w:rFonts w:ascii="Calibri"/>
                <w:sz w:val="20"/>
              </w:rPr>
            </w:pPr>
            <w:r>
              <w:rPr>
                <w:rFonts w:ascii="Calibri"/>
                <w:sz w:val="20"/>
              </w:rPr>
              <w:t>Commerce (C)</w:t>
            </w:r>
          </w:p>
        </w:tc>
        <w:tc>
          <w:tcPr>
            <w:tcW w:w="1377" w:type="dxa"/>
          </w:tcPr>
          <w:p>
            <w:pPr>
              <w:pStyle w:val="TableParagraph"/>
              <w:spacing w:before="1"/>
              <w:rPr>
                <w:rFonts w:ascii="Calibri"/>
                <w:sz w:val="20"/>
              </w:rPr>
            </w:pPr>
            <w:r>
              <w:rPr>
                <w:rFonts w:ascii="Calibri"/>
                <w:sz w:val="20"/>
              </w:rPr>
              <w:t>Commerce (C)</w:t>
            </w:r>
          </w:p>
        </w:tc>
        <w:tc>
          <w:tcPr>
            <w:tcW w:w="1492" w:type="dxa"/>
          </w:tcPr>
          <w:p>
            <w:pPr>
              <w:pStyle w:val="TableParagraph"/>
              <w:spacing w:line="240" w:lineRule="atLeast" w:before="1"/>
              <w:ind w:left="106" w:right="123"/>
              <w:rPr>
                <w:rFonts w:ascii="Calibri"/>
                <w:sz w:val="20"/>
              </w:rPr>
            </w:pPr>
            <w:r>
              <w:rPr>
                <w:rFonts w:ascii="Calibri"/>
                <w:sz w:val="20"/>
              </w:rPr>
              <w:t>Recreation and Open Space (Existing Cemetery)</w:t>
            </w:r>
          </w:p>
        </w:tc>
      </w:tr>
    </w:tbl>
    <w:p>
      <w:pPr>
        <w:pStyle w:val="BodyText"/>
        <w:spacing w:before="11"/>
        <w:rPr>
          <w:sz w:val="26"/>
        </w:rPr>
      </w:pPr>
    </w:p>
    <w:p>
      <w:pPr>
        <w:pStyle w:val="Heading2"/>
        <w:ind w:left="989"/>
        <w:rPr>
          <w:b w:val="0"/>
        </w:rPr>
      </w:pPr>
      <w:bookmarkStart w:name="_TOC_250014" w:id="8"/>
      <w:bookmarkEnd w:id="8"/>
      <w:r>
        <w:rPr>
          <w:b w:val="0"/>
        </w:rPr>
        <w:t>Part 4 - Zoning</w:t>
      </w:r>
    </w:p>
    <w:p>
      <w:pPr>
        <w:pStyle w:val="BodyText"/>
        <w:spacing w:before="3"/>
        <w:rPr>
          <w:rFonts w:ascii="Calibri Light"/>
          <w:b w:val="0"/>
        </w:rPr>
      </w:pPr>
    </w:p>
    <w:p>
      <w:pPr>
        <w:pStyle w:val="ListParagraph"/>
        <w:numPr>
          <w:ilvl w:val="0"/>
          <w:numId w:val="3"/>
        </w:numPr>
        <w:tabs>
          <w:tab w:pos="1710" w:val="left" w:leader="none"/>
        </w:tabs>
        <w:spacing w:line="242" w:lineRule="auto" w:before="1" w:after="0"/>
        <w:ind w:left="1709" w:right="1407" w:hanging="360"/>
        <w:jc w:val="both"/>
        <w:rPr>
          <w:sz w:val="24"/>
        </w:rPr>
      </w:pPr>
      <w:r>
        <w:rPr>
          <w:sz w:val="24"/>
        </w:rPr>
        <w:t>The property is currently zoned Public Utilities (Pu), which permits utility uses intended to serve the community, including the existing cemetery, which is categorized as institutional open space under the City’s zoning</w:t>
      </w:r>
      <w:r>
        <w:rPr>
          <w:spacing w:val="-1"/>
          <w:sz w:val="24"/>
        </w:rPr>
        <w:t> </w:t>
      </w:r>
      <w:r>
        <w:rPr>
          <w:sz w:val="24"/>
        </w:rPr>
        <w:t>code.</w:t>
      </w:r>
    </w:p>
    <w:p>
      <w:pPr>
        <w:pStyle w:val="ListParagraph"/>
        <w:numPr>
          <w:ilvl w:val="0"/>
          <w:numId w:val="3"/>
        </w:numPr>
        <w:tabs>
          <w:tab w:pos="1710" w:val="left" w:leader="none"/>
        </w:tabs>
        <w:spacing w:line="240" w:lineRule="auto" w:before="0" w:after="0"/>
        <w:ind w:left="1709" w:right="1408" w:hanging="360"/>
        <w:jc w:val="both"/>
        <w:rPr>
          <w:sz w:val="24"/>
        </w:rPr>
      </w:pPr>
      <w:r>
        <w:rPr>
          <w:sz w:val="24"/>
        </w:rPr>
        <w:t>The</w:t>
      </w:r>
      <w:r>
        <w:rPr>
          <w:spacing w:val="-6"/>
          <w:sz w:val="24"/>
        </w:rPr>
        <w:t> </w:t>
      </w:r>
      <w:r>
        <w:rPr>
          <w:sz w:val="24"/>
        </w:rPr>
        <w:t>proposed</w:t>
      </w:r>
      <w:r>
        <w:rPr>
          <w:spacing w:val="-6"/>
          <w:sz w:val="24"/>
        </w:rPr>
        <w:t> </w:t>
      </w:r>
      <w:r>
        <w:rPr>
          <w:sz w:val="24"/>
        </w:rPr>
        <w:t>zoning</w:t>
      </w:r>
      <w:r>
        <w:rPr>
          <w:spacing w:val="-6"/>
          <w:sz w:val="24"/>
        </w:rPr>
        <w:t> </w:t>
      </w:r>
      <w:r>
        <w:rPr>
          <w:sz w:val="24"/>
        </w:rPr>
        <w:t>is</w:t>
      </w:r>
      <w:r>
        <w:rPr>
          <w:spacing w:val="-6"/>
          <w:sz w:val="24"/>
        </w:rPr>
        <w:t> </w:t>
      </w:r>
      <w:r>
        <w:rPr>
          <w:sz w:val="24"/>
        </w:rPr>
        <w:t>General</w:t>
      </w:r>
      <w:r>
        <w:rPr>
          <w:spacing w:val="-6"/>
          <w:sz w:val="24"/>
        </w:rPr>
        <w:t> </w:t>
      </w:r>
      <w:r>
        <w:rPr>
          <w:sz w:val="24"/>
        </w:rPr>
        <w:t>Industrial</w:t>
      </w:r>
      <w:r>
        <w:rPr>
          <w:spacing w:val="-5"/>
          <w:sz w:val="24"/>
        </w:rPr>
        <w:t> </w:t>
      </w:r>
      <w:r>
        <w:rPr>
          <w:sz w:val="24"/>
        </w:rPr>
        <w:t>(I-1),</w:t>
      </w:r>
      <w:r>
        <w:rPr>
          <w:spacing w:val="-6"/>
          <w:sz w:val="24"/>
        </w:rPr>
        <w:t> </w:t>
      </w:r>
      <w:r>
        <w:rPr>
          <w:sz w:val="24"/>
        </w:rPr>
        <w:t>which</w:t>
      </w:r>
      <w:r>
        <w:rPr>
          <w:spacing w:val="-6"/>
          <w:sz w:val="24"/>
        </w:rPr>
        <w:t> </w:t>
      </w:r>
      <w:r>
        <w:rPr>
          <w:sz w:val="24"/>
        </w:rPr>
        <w:t>is</w:t>
      </w:r>
      <w:r>
        <w:rPr>
          <w:spacing w:val="-6"/>
          <w:sz w:val="24"/>
        </w:rPr>
        <w:t> </w:t>
      </w:r>
      <w:r>
        <w:rPr>
          <w:sz w:val="24"/>
        </w:rPr>
        <w:t>consistent</w:t>
      </w:r>
      <w:r>
        <w:rPr>
          <w:spacing w:val="-6"/>
          <w:sz w:val="24"/>
        </w:rPr>
        <w:t> </w:t>
      </w:r>
      <w:r>
        <w:rPr>
          <w:sz w:val="24"/>
        </w:rPr>
        <w:t>with</w:t>
      </w:r>
      <w:r>
        <w:rPr>
          <w:spacing w:val="-6"/>
          <w:sz w:val="24"/>
        </w:rPr>
        <w:t> </w:t>
      </w:r>
      <w:r>
        <w:rPr>
          <w:sz w:val="24"/>
        </w:rPr>
        <w:t>the</w:t>
      </w:r>
      <w:r>
        <w:rPr>
          <w:spacing w:val="-5"/>
          <w:sz w:val="24"/>
        </w:rPr>
        <w:t> </w:t>
      </w:r>
      <w:r>
        <w:rPr>
          <w:sz w:val="24"/>
        </w:rPr>
        <w:t>area</w:t>
      </w:r>
      <w:r>
        <w:rPr>
          <w:spacing w:val="-6"/>
          <w:sz w:val="24"/>
        </w:rPr>
        <w:t> </w:t>
      </w:r>
      <w:r>
        <w:rPr>
          <w:sz w:val="24"/>
        </w:rPr>
        <w:t>adjacent to the subject property, as reflected in Table</w:t>
      </w:r>
      <w:r>
        <w:rPr>
          <w:spacing w:val="-2"/>
          <w:sz w:val="24"/>
        </w:rPr>
        <w:t> </w:t>
      </w:r>
      <w:r>
        <w:rPr>
          <w:sz w:val="24"/>
        </w:rPr>
        <w:t>2.</w:t>
      </w:r>
    </w:p>
    <w:p>
      <w:pPr>
        <w:pStyle w:val="BodyText"/>
        <w:rPr>
          <w:sz w:val="20"/>
        </w:rPr>
      </w:pPr>
    </w:p>
    <w:p>
      <w:pPr>
        <w:pStyle w:val="BodyText"/>
        <w:rPr>
          <w:sz w:val="20"/>
        </w:rPr>
      </w:pPr>
    </w:p>
    <w:p>
      <w:pPr>
        <w:pStyle w:val="BodyText"/>
        <w:rPr>
          <w:sz w:val="20"/>
        </w:rPr>
      </w:pPr>
    </w:p>
    <w:p>
      <w:pPr>
        <w:pStyle w:val="BodyText"/>
        <w:spacing w:before="4" w:after="1"/>
        <w:rPr>
          <w:sz w:val="11"/>
        </w:rPr>
      </w:pPr>
    </w:p>
    <w:tbl>
      <w:tblPr>
        <w:tblW w:w="0" w:type="auto"/>
        <w:jc w:val="left"/>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26"/>
        <w:gridCol w:w="1339"/>
        <w:gridCol w:w="2093"/>
        <w:gridCol w:w="2093"/>
        <w:gridCol w:w="1733"/>
        <w:gridCol w:w="1267"/>
        <w:gridCol w:w="2093"/>
      </w:tblGrid>
      <w:tr>
        <w:trPr>
          <w:trHeight w:val="230" w:hRule="atLeast"/>
        </w:trPr>
        <w:tc>
          <w:tcPr>
            <w:tcW w:w="926" w:type="dxa"/>
            <w:vMerge w:val="restart"/>
          </w:tcPr>
          <w:p>
            <w:pPr>
              <w:pStyle w:val="TableParagraph"/>
              <w:ind w:left="0"/>
              <w:rPr>
                <w:sz w:val="22"/>
              </w:rPr>
            </w:pPr>
          </w:p>
        </w:tc>
        <w:tc>
          <w:tcPr>
            <w:tcW w:w="1339" w:type="dxa"/>
            <w:tcBorders>
              <w:bottom w:val="nil"/>
            </w:tcBorders>
          </w:tcPr>
          <w:p>
            <w:pPr>
              <w:pStyle w:val="TableParagraph"/>
              <w:spacing w:line="210" w:lineRule="exact"/>
              <w:rPr>
                <w:b/>
                <w:sz w:val="20"/>
              </w:rPr>
            </w:pPr>
            <w:r>
              <w:rPr>
                <w:b/>
                <w:sz w:val="20"/>
              </w:rPr>
              <w:t>Proposed</w:t>
            </w:r>
          </w:p>
        </w:tc>
        <w:tc>
          <w:tcPr>
            <w:tcW w:w="9279" w:type="dxa"/>
            <w:gridSpan w:val="5"/>
          </w:tcPr>
          <w:p>
            <w:pPr>
              <w:pStyle w:val="TableParagraph"/>
              <w:spacing w:line="210" w:lineRule="exact"/>
              <w:ind w:left="1528" w:right="1521"/>
              <w:jc w:val="center"/>
              <w:rPr>
                <w:b/>
                <w:sz w:val="20"/>
              </w:rPr>
            </w:pPr>
            <w:r>
              <w:rPr>
                <w:b/>
                <w:sz w:val="20"/>
              </w:rPr>
              <w:t>Table 2 – Proposed Zoning Consistent with Zoning of Surrounding Area</w:t>
            </w:r>
          </w:p>
        </w:tc>
      </w:tr>
      <w:tr>
        <w:trPr>
          <w:trHeight w:val="229" w:hRule="atLeast"/>
        </w:trPr>
        <w:tc>
          <w:tcPr>
            <w:tcW w:w="926" w:type="dxa"/>
            <w:vMerge/>
            <w:tcBorders>
              <w:top w:val="nil"/>
            </w:tcBorders>
          </w:tcPr>
          <w:p>
            <w:pPr>
              <w:rPr>
                <w:sz w:val="2"/>
                <w:szCs w:val="2"/>
              </w:rPr>
            </w:pPr>
          </w:p>
        </w:tc>
        <w:tc>
          <w:tcPr>
            <w:tcW w:w="1339" w:type="dxa"/>
            <w:tcBorders>
              <w:top w:val="nil"/>
              <w:bottom w:val="nil"/>
            </w:tcBorders>
          </w:tcPr>
          <w:p>
            <w:pPr>
              <w:pStyle w:val="TableParagraph"/>
              <w:spacing w:line="209" w:lineRule="exact"/>
              <w:rPr>
                <w:b/>
                <w:sz w:val="20"/>
              </w:rPr>
            </w:pPr>
            <w:r>
              <w:rPr>
                <w:b/>
                <w:sz w:val="20"/>
              </w:rPr>
              <w:t>Zoning</w:t>
            </w:r>
          </w:p>
        </w:tc>
        <w:tc>
          <w:tcPr>
            <w:tcW w:w="2093" w:type="dxa"/>
            <w:tcBorders>
              <w:bottom w:val="nil"/>
            </w:tcBorders>
          </w:tcPr>
          <w:p>
            <w:pPr>
              <w:pStyle w:val="TableParagraph"/>
              <w:spacing w:line="209" w:lineRule="exact"/>
              <w:rPr>
                <w:b/>
                <w:sz w:val="20"/>
              </w:rPr>
            </w:pPr>
            <w:r>
              <w:rPr>
                <w:b/>
                <w:sz w:val="20"/>
              </w:rPr>
              <w:t>North</w:t>
            </w:r>
          </w:p>
        </w:tc>
        <w:tc>
          <w:tcPr>
            <w:tcW w:w="2093" w:type="dxa"/>
            <w:tcBorders>
              <w:bottom w:val="nil"/>
            </w:tcBorders>
          </w:tcPr>
          <w:p>
            <w:pPr>
              <w:pStyle w:val="TableParagraph"/>
              <w:spacing w:line="209" w:lineRule="exact"/>
              <w:rPr>
                <w:b/>
                <w:sz w:val="20"/>
              </w:rPr>
            </w:pPr>
            <w:r>
              <w:rPr>
                <w:b/>
                <w:sz w:val="20"/>
              </w:rPr>
              <w:t>South</w:t>
            </w:r>
          </w:p>
        </w:tc>
        <w:tc>
          <w:tcPr>
            <w:tcW w:w="1733" w:type="dxa"/>
            <w:tcBorders>
              <w:bottom w:val="nil"/>
            </w:tcBorders>
          </w:tcPr>
          <w:p>
            <w:pPr>
              <w:pStyle w:val="TableParagraph"/>
              <w:spacing w:line="209" w:lineRule="exact"/>
              <w:rPr>
                <w:b/>
                <w:sz w:val="20"/>
              </w:rPr>
            </w:pPr>
            <w:r>
              <w:rPr>
                <w:b/>
                <w:sz w:val="20"/>
              </w:rPr>
              <w:t>East</w:t>
            </w:r>
          </w:p>
        </w:tc>
        <w:tc>
          <w:tcPr>
            <w:tcW w:w="1267" w:type="dxa"/>
            <w:tcBorders>
              <w:bottom w:val="nil"/>
            </w:tcBorders>
          </w:tcPr>
          <w:p>
            <w:pPr>
              <w:pStyle w:val="TableParagraph"/>
              <w:spacing w:line="209" w:lineRule="exact"/>
              <w:ind w:left="110"/>
              <w:rPr>
                <w:b/>
                <w:sz w:val="20"/>
              </w:rPr>
            </w:pPr>
            <w:r>
              <w:rPr>
                <w:b/>
                <w:sz w:val="20"/>
              </w:rPr>
              <w:t>West</w:t>
            </w:r>
          </w:p>
        </w:tc>
        <w:tc>
          <w:tcPr>
            <w:tcW w:w="2093" w:type="dxa"/>
            <w:tcBorders>
              <w:bottom w:val="nil"/>
            </w:tcBorders>
          </w:tcPr>
          <w:p>
            <w:pPr>
              <w:pStyle w:val="TableParagraph"/>
              <w:spacing w:line="209" w:lineRule="exact"/>
              <w:ind w:left="110"/>
              <w:rPr>
                <w:b/>
                <w:sz w:val="20"/>
              </w:rPr>
            </w:pPr>
            <w:r>
              <w:rPr>
                <w:b/>
                <w:sz w:val="20"/>
              </w:rPr>
              <w:t>West of Existing</w:t>
            </w:r>
          </w:p>
        </w:tc>
      </w:tr>
      <w:tr>
        <w:trPr>
          <w:trHeight w:val="239" w:hRule="atLeast"/>
        </w:trPr>
        <w:tc>
          <w:tcPr>
            <w:tcW w:w="926" w:type="dxa"/>
            <w:vMerge/>
            <w:tcBorders>
              <w:top w:val="nil"/>
            </w:tcBorders>
          </w:tcPr>
          <w:p>
            <w:pPr>
              <w:rPr>
                <w:sz w:val="2"/>
                <w:szCs w:val="2"/>
              </w:rPr>
            </w:pPr>
          </w:p>
        </w:tc>
        <w:tc>
          <w:tcPr>
            <w:tcW w:w="1339" w:type="dxa"/>
            <w:tcBorders>
              <w:top w:val="nil"/>
              <w:bottom w:val="nil"/>
            </w:tcBorders>
          </w:tcPr>
          <w:p>
            <w:pPr>
              <w:pStyle w:val="TableParagraph"/>
              <w:ind w:left="0"/>
              <w:rPr>
                <w:sz w:val="16"/>
              </w:rPr>
            </w:pPr>
          </w:p>
        </w:tc>
        <w:tc>
          <w:tcPr>
            <w:tcW w:w="2093" w:type="dxa"/>
            <w:tcBorders>
              <w:top w:val="nil"/>
              <w:bottom w:val="nil"/>
            </w:tcBorders>
          </w:tcPr>
          <w:p>
            <w:pPr>
              <w:pStyle w:val="TableParagraph"/>
              <w:ind w:left="0"/>
              <w:rPr>
                <w:sz w:val="16"/>
              </w:rPr>
            </w:pPr>
          </w:p>
        </w:tc>
        <w:tc>
          <w:tcPr>
            <w:tcW w:w="2093" w:type="dxa"/>
            <w:tcBorders>
              <w:top w:val="nil"/>
              <w:bottom w:val="nil"/>
            </w:tcBorders>
          </w:tcPr>
          <w:p>
            <w:pPr>
              <w:pStyle w:val="TableParagraph"/>
              <w:ind w:left="0"/>
              <w:rPr>
                <w:sz w:val="16"/>
              </w:rPr>
            </w:pPr>
          </w:p>
        </w:tc>
        <w:tc>
          <w:tcPr>
            <w:tcW w:w="1733" w:type="dxa"/>
            <w:tcBorders>
              <w:top w:val="nil"/>
              <w:bottom w:val="nil"/>
            </w:tcBorders>
          </w:tcPr>
          <w:p>
            <w:pPr>
              <w:pStyle w:val="TableParagraph"/>
              <w:ind w:left="0"/>
              <w:rPr>
                <w:sz w:val="16"/>
              </w:rPr>
            </w:pPr>
          </w:p>
        </w:tc>
        <w:tc>
          <w:tcPr>
            <w:tcW w:w="1267" w:type="dxa"/>
            <w:tcBorders>
              <w:top w:val="nil"/>
              <w:bottom w:val="nil"/>
            </w:tcBorders>
          </w:tcPr>
          <w:p>
            <w:pPr>
              <w:pStyle w:val="TableParagraph"/>
              <w:ind w:left="0"/>
              <w:rPr>
                <w:sz w:val="16"/>
              </w:rPr>
            </w:pPr>
          </w:p>
        </w:tc>
        <w:tc>
          <w:tcPr>
            <w:tcW w:w="2093" w:type="dxa"/>
            <w:tcBorders>
              <w:top w:val="nil"/>
              <w:bottom w:val="nil"/>
            </w:tcBorders>
          </w:tcPr>
          <w:p>
            <w:pPr>
              <w:pStyle w:val="TableParagraph"/>
              <w:spacing w:line="220" w:lineRule="exact"/>
              <w:ind w:left="110"/>
              <w:rPr>
                <w:b/>
                <w:sz w:val="20"/>
              </w:rPr>
            </w:pPr>
            <w:r>
              <w:rPr>
                <w:b/>
                <w:sz w:val="20"/>
              </w:rPr>
              <w:t>Cemetery</w:t>
            </w:r>
          </w:p>
        </w:tc>
      </w:tr>
      <w:tr>
        <w:trPr>
          <w:trHeight w:val="239" w:hRule="atLeast"/>
        </w:trPr>
        <w:tc>
          <w:tcPr>
            <w:tcW w:w="926" w:type="dxa"/>
            <w:vMerge/>
            <w:tcBorders>
              <w:top w:val="nil"/>
            </w:tcBorders>
          </w:tcPr>
          <w:p>
            <w:pPr>
              <w:rPr>
                <w:sz w:val="2"/>
                <w:szCs w:val="2"/>
              </w:rPr>
            </w:pPr>
          </w:p>
        </w:tc>
        <w:tc>
          <w:tcPr>
            <w:tcW w:w="1339" w:type="dxa"/>
            <w:tcBorders>
              <w:top w:val="nil"/>
              <w:bottom w:val="nil"/>
            </w:tcBorders>
          </w:tcPr>
          <w:p>
            <w:pPr>
              <w:pStyle w:val="TableParagraph"/>
              <w:spacing w:line="209" w:lineRule="exact" w:before="10"/>
              <w:rPr>
                <w:b/>
                <w:sz w:val="20"/>
              </w:rPr>
            </w:pPr>
            <w:r>
              <w:rPr>
                <w:b/>
                <w:sz w:val="20"/>
              </w:rPr>
              <w:t>Subject</w:t>
            </w:r>
          </w:p>
        </w:tc>
        <w:tc>
          <w:tcPr>
            <w:tcW w:w="2093" w:type="dxa"/>
            <w:tcBorders>
              <w:top w:val="nil"/>
              <w:bottom w:val="nil"/>
            </w:tcBorders>
          </w:tcPr>
          <w:p>
            <w:pPr>
              <w:pStyle w:val="TableParagraph"/>
              <w:ind w:left="0"/>
              <w:rPr>
                <w:sz w:val="16"/>
              </w:rPr>
            </w:pPr>
          </w:p>
        </w:tc>
        <w:tc>
          <w:tcPr>
            <w:tcW w:w="2093" w:type="dxa"/>
            <w:tcBorders>
              <w:top w:val="nil"/>
              <w:bottom w:val="nil"/>
            </w:tcBorders>
          </w:tcPr>
          <w:p>
            <w:pPr>
              <w:pStyle w:val="TableParagraph"/>
              <w:ind w:left="0"/>
              <w:rPr>
                <w:sz w:val="16"/>
              </w:rPr>
            </w:pPr>
          </w:p>
        </w:tc>
        <w:tc>
          <w:tcPr>
            <w:tcW w:w="1733" w:type="dxa"/>
            <w:tcBorders>
              <w:top w:val="nil"/>
              <w:bottom w:val="nil"/>
            </w:tcBorders>
          </w:tcPr>
          <w:p>
            <w:pPr>
              <w:pStyle w:val="TableParagraph"/>
              <w:ind w:left="0"/>
              <w:rPr>
                <w:sz w:val="16"/>
              </w:rPr>
            </w:pPr>
          </w:p>
        </w:tc>
        <w:tc>
          <w:tcPr>
            <w:tcW w:w="1267" w:type="dxa"/>
            <w:tcBorders>
              <w:top w:val="nil"/>
              <w:bottom w:val="nil"/>
            </w:tcBorders>
          </w:tcPr>
          <w:p>
            <w:pPr>
              <w:pStyle w:val="TableParagraph"/>
              <w:ind w:left="0"/>
              <w:rPr>
                <w:sz w:val="16"/>
              </w:rPr>
            </w:pPr>
          </w:p>
        </w:tc>
        <w:tc>
          <w:tcPr>
            <w:tcW w:w="2093" w:type="dxa"/>
            <w:tcBorders>
              <w:top w:val="nil"/>
              <w:bottom w:val="nil"/>
            </w:tcBorders>
          </w:tcPr>
          <w:p>
            <w:pPr>
              <w:pStyle w:val="TableParagraph"/>
              <w:ind w:left="0"/>
              <w:rPr>
                <w:sz w:val="16"/>
              </w:rPr>
            </w:pPr>
          </w:p>
        </w:tc>
      </w:tr>
      <w:tr>
        <w:trPr>
          <w:trHeight w:val="221" w:hRule="atLeast"/>
        </w:trPr>
        <w:tc>
          <w:tcPr>
            <w:tcW w:w="926" w:type="dxa"/>
            <w:vMerge/>
            <w:tcBorders>
              <w:top w:val="nil"/>
            </w:tcBorders>
          </w:tcPr>
          <w:p>
            <w:pPr>
              <w:rPr>
                <w:sz w:val="2"/>
                <w:szCs w:val="2"/>
              </w:rPr>
            </w:pPr>
          </w:p>
        </w:tc>
        <w:tc>
          <w:tcPr>
            <w:tcW w:w="1339" w:type="dxa"/>
            <w:tcBorders>
              <w:top w:val="nil"/>
            </w:tcBorders>
          </w:tcPr>
          <w:p>
            <w:pPr>
              <w:pStyle w:val="TableParagraph"/>
              <w:spacing w:line="201" w:lineRule="exact"/>
              <w:rPr>
                <w:b/>
                <w:sz w:val="20"/>
              </w:rPr>
            </w:pPr>
            <w:r>
              <w:rPr>
                <w:b/>
                <w:sz w:val="20"/>
              </w:rPr>
              <w:t>Property</w:t>
            </w:r>
          </w:p>
        </w:tc>
        <w:tc>
          <w:tcPr>
            <w:tcW w:w="2093" w:type="dxa"/>
            <w:tcBorders>
              <w:top w:val="nil"/>
            </w:tcBorders>
          </w:tcPr>
          <w:p>
            <w:pPr>
              <w:pStyle w:val="TableParagraph"/>
              <w:ind w:left="0"/>
              <w:rPr>
                <w:sz w:val="14"/>
              </w:rPr>
            </w:pPr>
          </w:p>
        </w:tc>
        <w:tc>
          <w:tcPr>
            <w:tcW w:w="2093" w:type="dxa"/>
            <w:tcBorders>
              <w:top w:val="nil"/>
            </w:tcBorders>
          </w:tcPr>
          <w:p>
            <w:pPr>
              <w:pStyle w:val="TableParagraph"/>
              <w:ind w:left="0"/>
              <w:rPr>
                <w:sz w:val="14"/>
              </w:rPr>
            </w:pPr>
          </w:p>
        </w:tc>
        <w:tc>
          <w:tcPr>
            <w:tcW w:w="1733" w:type="dxa"/>
            <w:tcBorders>
              <w:top w:val="nil"/>
            </w:tcBorders>
          </w:tcPr>
          <w:p>
            <w:pPr>
              <w:pStyle w:val="TableParagraph"/>
              <w:ind w:left="0"/>
              <w:rPr>
                <w:sz w:val="14"/>
              </w:rPr>
            </w:pPr>
          </w:p>
        </w:tc>
        <w:tc>
          <w:tcPr>
            <w:tcW w:w="1267" w:type="dxa"/>
            <w:tcBorders>
              <w:top w:val="nil"/>
            </w:tcBorders>
          </w:tcPr>
          <w:p>
            <w:pPr>
              <w:pStyle w:val="TableParagraph"/>
              <w:ind w:left="0"/>
              <w:rPr>
                <w:sz w:val="14"/>
              </w:rPr>
            </w:pPr>
          </w:p>
        </w:tc>
        <w:tc>
          <w:tcPr>
            <w:tcW w:w="2093" w:type="dxa"/>
            <w:tcBorders>
              <w:top w:val="nil"/>
            </w:tcBorders>
          </w:tcPr>
          <w:p>
            <w:pPr>
              <w:pStyle w:val="TableParagraph"/>
              <w:ind w:left="0"/>
              <w:rPr>
                <w:sz w:val="14"/>
              </w:rPr>
            </w:pPr>
          </w:p>
        </w:tc>
      </w:tr>
      <w:tr>
        <w:trPr>
          <w:trHeight w:val="488" w:hRule="atLeast"/>
        </w:trPr>
        <w:tc>
          <w:tcPr>
            <w:tcW w:w="926" w:type="dxa"/>
            <w:tcBorders>
              <w:bottom w:val="nil"/>
            </w:tcBorders>
          </w:tcPr>
          <w:p>
            <w:pPr>
              <w:pStyle w:val="TableParagraph"/>
              <w:ind w:right="179"/>
              <w:rPr>
                <w:b/>
                <w:sz w:val="20"/>
              </w:rPr>
            </w:pPr>
            <w:r>
              <w:rPr>
                <w:b/>
                <w:sz w:val="20"/>
              </w:rPr>
              <w:t>City Zoning</w:t>
            </w:r>
          </w:p>
        </w:tc>
        <w:tc>
          <w:tcPr>
            <w:tcW w:w="1339" w:type="dxa"/>
            <w:tcBorders>
              <w:bottom w:val="nil"/>
            </w:tcBorders>
          </w:tcPr>
          <w:p>
            <w:pPr>
              <w:pStyle w:val="TableParagraph"/>
              <w:ind w:right="287"/>
              <w:rPr>
                <w:sz w:val="20"/>
              </w:rPr>
            </w:pPr>
            <w:r>
              <w:rPr>
                <w:sz w:val="20"/>
              </w:rPr>
              <w:t>I-1 General Industrial</w:t>
            </w:r>
          </w:p>
        </w:tc>
        <w:tc>
          <w:tcPr>
            <w:tcW w:w="2093" w:type="dxa"/>
            <w:tcBorders>
              <w:bottom w:val="nil"/>
            </w:tcBorders>
          </w:tcPr>
          <w:p>
            <w:pPr>
              <w:pStyle w:val="TableParagraph"/>
              <w:rPr>
                <w:sz w:val="20"/>
              </w:rPr>
            </w:pPr>
            <w:r>
              <w:rPr>
                <w:sz w:val="20"/>
              </w:rPr>
              <w:t>I-1 General Industrial</w:t>
            </w:r>
          </w:p>
        </w:tc>
        <w:tc>
          <w:tcPr>
            <w:tcW w:w="2093" w:type="dxa"/>
            <w:tcBorders>
              <w:bottom w:val="nil"/>
            </w:tcBorders>
          </w:tcPr>
          <w:p>
            <w:pPr>
              <w:pStyle w:val="TableParagraph"/>
              <w:rPr>
                <w:sz w:val="20"/>
              </w:rPr>
            </w:pPr>
            <w:r>
              <w:rPr>
                <w:sz w:val="20"/>
              </w:rPr>
              <w:t>I-IX Special Industrial</w:t>
            </w:r>
          </w:p>
        </w:tc>
        <w:tc>
          <w:tcPr>
            <w:tcW w:w="1733" w:type="dxa"/>
            <w:tcBorders>
              <w:bottom w:val="nil"/>
            </w:tcBorders>
          </w:tcPr>
          <w:p>
            <w:pPr>
              <w:pStyle w:val="TableParagraph"/>
              <w:ind w:right="681"/>
              <w:rPr>
                <w:sz w:val="20"/>
              </w:rPr>
            </w:pPr>
            <w:r>
              <w:rPr>
                <w:sz w:val="20"/>
              </w:rPr>
              <w:t>I-1 General Industrial</w:t>
            </w:r>
          </w:p>
        </w:tc>
        <w:tc>
          <w:tcPr>
            <w:tcW w:w="1267" w:type="dxa"/>
            <w:tcBorders>
              <w:bottom w:val="nil"/>
            </w:tcBorders>
          </w:tcPr>
          <w:p>
            <w:pPr>
              <w:pStyle w:val="TableParagraph"/>
              <w:ind w:left="110" w:right="238"/>
              <w:rPr>
                <w:sz w:val="20"/>
              </w:rPr>
            </w:pPr>
            <w:r>
              <w:rPr>
                <w:sz w:val="20"/>
              </w:rPr>
              <w:t>Pu - Public Utilities</w:t>
            </w:r>
          </w:p>
        </w:tc>
        <w:tc>
          <w:tcPr>
            <w:tcW w:w="2093" w:type="dxa"/>
            <w:tcBorders>
              <w:bottom w:val="nil"/>
            </w:tcBorders>
          </w:tcPr>
          <w:p>
            <w:pPr>
              <w:pStyle w:val="TableParagraph"/>
              <w:ind w:left="110"/>
              <w:rPr>
                <w:sz w:val="20"/>
              </w:rPr>
            </w:pPr>
            <w:r>
              <w:rPr>
                <w:sz w:val="20"/>
              </w:rPr>
              <w:t>I-1 General Industrial</w:t>
            </w:r>
          </w:p>
        </w:tc>
      </w:tr>
      <w:tr>
        <w:trPr>
          <w:trHeight w:val="1219" w:hRule="atLeast"/>
        </w:trPr>
        <w:tc>
          <w:tcPr>
            <w:tcW w:w="926" w:type="dxa"/>
            <w:tcBorders>
              <w:top w:val="nil"/>
            </w:tcBorders>
          </w:tcPr>
          <w:p>
            <w:pPr>
              <w:pStyle w:val="TableParagraph"/>
              <w:ind w:left="0"/>
              <w:rPr>
                <w:sz w:val="22"/>
              </w:rPr>
            </w:pPr>
          </w:p>
        </w:tc>
        <w:tc>
          <w:tcPr>
            <w:tcW w:w="1339" w:type="dxa"/>
            <w:tcBorders>
              <w:top w:val="nil"/>
            </w:tcBorders>
          </w:tcPr>
          <w:p>
            <w:pPr>
              <w:pStyle w:val="TableParagraph"/>
              <w:ind w:left="0"/>
              <w:rPr>
                <w:sz w:val="22"/>
              </w:rPr>
            </w:pPr>
          </w:p>
        </w:tc>
        <w:tc>
          <w:tcPr>
            <w:tcW w:w="2093" w:type="dxa"/>
            <w:tcBorders>
              <w:top w:val="nil"/>
            </w:tcBorders>
          </w:tcPr>
          <w:p>
            <w:pPr>
              <w:pStyle w:val="TableParagraph"/>
              <w:spacing w:before="20"/>
              <w:ind w:right="730"/>
              <w:rPr>
                <w:sz w:val="20"/>
              </w:rPr>
            </w:pPr>
            <w:r>
              <w:rPr>
                <w:sz w:val="20"/>
              </w:rPr>
              <w:t>B-3/B-4 Heavy Commercial</w:t>
            </w:r>
          </w:p>
          <w:p>
            <w:pPr>
              <w:pStyle w:val="TableParagraph"/>
              <w:spacing w:before="11"/>
              <w:ind w:left="0"/>
              <w:rPr>
                <w:rFonts w:ascii="Calibri"/>
                <w:sz w:val="22"/>
              </w:rPr>
            </w:pPr>
          </w:p>
          <w:p>
            <w:pPr>
              <w:pStyle w:val="TableParagraph"/>
              <w:spacing w:line="230" w:lineRule="atLeast"/>
              <w:ind w:right="158"/>
              <w:rPr>
                <w:sz w:val="20"/>
              </w:rPr>
            </w:pPr>
            <w:r>
              <w:rPr>
                <w:sz w:val="20"/>
              </w:rPr>
              <w:t>O-1P Office Industrial Park</w:t>
            </w:r>
          </w:p>
        </w:tc>
        <w:tc>
          <w:tcPr>
            <w:tcW w:w="2093" w:type="dxa"/>
            <w:tcBorders>
              <w:top w:val="nil"/>
            </w:tcBorders>
          </w:tcPr>
          <w:p>
            <w:pPr>
              <w:pStyle w:val="TableParagraph"/>
              <w:ind w:left="0"/>
              <w:rPr>
                <w:sz w:val="22"/>
              </w:rPr>
            </w:pPr>
          </w:p>
        </w:tc>
        <w:tc>
          <w:tcPr>
            <w:tcW w:w="1733" w:type="dxa"/>
            <w:tcBorders>
              <w:top w:val="nil"/>
            </w:tcBorders>
          </w:tcPr>
          <w:p>
            <w:pPr>
              <w:pStyle w:val="TableParagraph"/>
              <w:spacing w:before="6"/>
              <w:ind w:left="0"/>
              <w:rPr>
                <w:rFonts w:ascii="Calibri"/>
                <w:sz w:val="20"/>
              </w:rPr>
            </w:pPr>
          </w:p>
          <w:p>
            <w:pPr>
              <w:pStyle w:val="TableParagraph"/>
              <w:ind w:right="609"/>
              <w:rPr>
                <w:sz w:val="20"/>
              </w:rPr>
            </w:pPr>
            <w:r>
              <w:rPr>
                <w:sz w:val="20"/>
              </w:rPr>
              <w:t>B-4 Heavy Commercial Zoning</w:t>
            </w:r>
          </w:p>
        </w:tc>
        <w:tc>
          <w:tcPr>
            <w:tcW w:w="1267" w:type="dxa"/>
            <w:tcBorders>
              <w:top w:val="nil"/>
            </w:tcBorders>
          </w:tcPr>
          <w:p>
            <w:pPr>
              <w:pStyle w:val="TableParagraph"/>
              <w:ind w:left="0"/>
              <w:rPr>
                <w:sz w:val="22"/>
              </w:rPr>
            </w:pPr>
          </w:p>
        </w:tc>
        <w:tc>
          <w:tcPr>
            <w:tcW w:w="2093" w:type="dxa"/>
            <w:tcBorders>
              <w:top w:val="nil"/>
            </w:tcBorders>
          </w:tcPr>
          <w:p>
            <w:pPr>
              <w:pStyle w:val="TableParagraph"/>
              <w:ind w:left="0"/>
              <w:rPr>
                <w:sz w:val="22"/>
              </w:rPr>
            </w:pPr>
          </w:p>
        </w:tc>
      </w:tr>
    </w:tbl>
    <w:p>
      <w:pPr>
        <w:pStyle w:val="BodyText"/>
        <w:spacing w:before="9"/>
        <w:rPr>
          <w:sz w:val="18"/>
        </w:rPr>
      </w:pPr>
    </w:p>
    <w:p>
      <w:pPr>
        <w:pStyle w:val="Heading2"/>
        <w:spacing w:before="99"/>
        <w:ind w:left="989"/>
        <w:rPr>
          <w:b w:val="0"/>
        </w:rPr>
      </w:pPr>
      <w:bookmarkStart w:name="_TOC_250013" w:id="9"/>
      <w:bookmarkEnd w:id="9"/>
      <w:r>
        <w:rPr>
          <w:b w:val="0"/>
        </w:rPr>
        <w:t>Part 5 - Compatibility with Surrounding Uses</w:t>
      </w:r>
    </w:p>
    <w:p>
      <w:pPr>
        <w:pStyle w:val="BodyText"/>
        <w:spacing w:before="9"/>
        <w:rPr>
          <w:rFonts w:ascii="Calibri Light"/>
          <w:b w:val="0"/>
        </w:rPr>
      </w:pPr>
    </w:p>
    <w:p>
      <w:pPr>
        <w:pStyle w:val="BodyText"/>
        <w:ind w:left="1709" w:right="1408" w:hanging="360"/>
        <w:jc w:val="both"/>
      </w:pPr>
      <w:r>
        <w:rPr/>
        <w:t>1. The proposed use of subject property for general industrial use is compatible with the surrounding uses, which include self-storage and warehouse related uses, in addition to light industrial manufacturing and retail/ wholesale businesses, as reflected in </w:t>
      </w:r>
      <w:r>
        <w:rPr>
          <w:b/>
          <w:i/>
        </w:rPr>
        <w:t>Table 2</w:t>
      </w:r>
      <w:r>
        <w:rPr/>
        <w:t>, below.</w:t>
      </w:r>
    </w:p>
    <w:p>
      <w:pPr>
        <w:spacing w:after="0"/>
        <w:jc w:val="both"/>
        <w:sectPr>
          <w:pgSz w:w="12240" w:h="15840"/>
          <w:pgMar w:header="0" w:footer="901" w:top="1380" w:bottom="1100" w:left="460" w:right="20"/>
        </w:sectPr>
      </w:pPr>
    </w:p>
    <w:tbl>
      <w:tblPr>
        <w:tblW w:w="0" w:type="auto"/>
        <w:jc w:val="left"/>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26"/>
        <w:gridCol w:w="1339"/>
        <w:gridCol w:w="2093"/>
        <w:gridCol w:w="2093"/>
        <w:gridCol w:w="1733"/>
        <w:gridCol w:w="1267"/>
        <w:gridCol w:w="2093"/>
      </w:tblGrid>
      <w:tr>
        <w:trPr>
          <w:trHeight w:val="230" w:hRule="atLeast"/>
        </w:trPr>
        <w:tc>
          <w:tcPr>
            <w:tcW w:w="11544" w:type="dxa"/>
            <w:gridSpan w:val="7"/>
          </w:tcPr>
          <w:p>
            <w:pPr>
              <w:pStyle w:val="TableParagraph"/>
              <w:spacing w:line="210" w:lineRule="exact"/>
              <w:ind w:left="2994" w:right="2986"/>
              <w:jc w:val="center"/>
              <w:rPr>
                <w:b/>
                <w:sz w:val="20"/>
              </w:rPr>
            </w:pPr>
            <w:r>
              <w:rPr>
                <w:b/>
                <w:sz w:val="20"/>
              </w:rPr>
              <w:t>Table 2 – Compatible with Existing Surrounding Industrial Uses</w:t>
            </w:r>
          </w:p>
        </w:tc>
      </w:tr>
      <w:tr>
        <w:trPr>
          <w:trHeight w:val="460" w:hRule="atLeast"/>
        </w:trPr>
        <w:tc>
          <w:tcPr>
            <w:tcW w:w="926" w:type="dxa"/>
          </w:tcPr>
          <w:p>
            <w:pPr>
              <w:pStyle w:val="TableParagraph"/>
              <w:ind w:left="0"/>
              <w:rPr>
                <w:sz w:val="22"/>
              </w:rPr>
            </w:pPr>
          </w:p>
        </w:tc>
        <w:tc>
          <w:tcPr>
            <w:tcW w:w="1339" w:type="dxa"/>
          </w:tcPr>
          <w:p>
            <w:pPr>
              <w:pStyle w:val="TableParagraph"/>
              <w:spacing w:line="230" w:lineRule="atLeast"/>
              <w:ind w:right="437"/>
              <w:rPr>
                <w:b/>
                <w:sz w:val="20"/>
              </w:rPr>
            </w:pPr>
            <w:r>
              <w:rPr>
                <w:b/>
                <w:sz w:val="20"/>
              </w:rPr>
              <w:t>Subject Property</w:t>
            </w:r>
          </w:p>
        </w:tc>
        <w:tc>
          <w:tcPr>
            <w:tcW w:w="2093" w:type="dxa"/>
          </w:tcPr>
          <w:p>
            <w:pPr>
              <w:pStyle w:val="TableParagraph"/>
              <w:rPr>
                <w:b/>
                <w:sz w:val="20"/>
              </w:rPr>
            </w:pPr>
            <w:r>
              <w:rPr>
                <w:b/>
                <w:sz w:val="20"/>
              </w:rPr>
              <w:t>North</w:t>
            </w:r>
          </w:p>
        </w:tc>
        <w:tc>
          <w:tcPr>
            <w:tcW w:w="2093" w:type="dxa"/>
          </w:tcPr>
          <w:p>
            <w:pPr>
              <w:pStyle w:val="TableParagraph"/>
              <w:rPr>
                <w:b/>
                <w:sz w:val="20"/>
              </w:rPr>
            </w:pPr>
            <w:r>
              <w:rPr>
                <w:b/>
                <w:sz w:val="20"/>
              </w:rPr>
              <w:t>South</w:t>
            </w:r>
          </w:p>
        </w:tc>
        <w:tc>
          <w:tcPr>
            <w:tcW w:w="1733" w:type="dxa"/>
          </w:tcPr>
          <w:p>
            <w:pPr>
              <w:pStyle w:val="TableParagraph"/>
              <w:rPr>
                <w:b/>
                <w:sz w:val="20"/>
              </w:rPr>
            </w:pPr>
            <w:r>
              <w:rPr>
                <w:b/>
                <w:sz w:val="20"/>
              </w:rPr>
              <w:t>East</w:t>
            </w:r>
          </w:p>
        </w:tc>
        <w:tc>
          <w:tcPr>
            <w:tcW w:w="1267" w:type="dxa"/>
          </w:tcPr>
          <w:p>
            <w:pPr>
              <w:pStyle w:val="TableParagraph"/>
              <w:ind w:left="110"/>
              <w:rPr>
                <w:b/>
                <w:sz w:val="20"/>
              </w:rPr>
            </w:pPr>
            <w:r>
              <w:rPr>
                <w:b/>
                <w:sz w:val="20"/>
              </w:rPr>
              <w:t>West</w:t>
            </w:r>
          </w:p>
        </w:tc>
        <w:tc>
          <w:tcPr>
            <w:tcW w:w="2093" w:type="dxa"/>
          </w:tcPr>
          <w:p>
            <w:pPr>
              <w:pStyle w:val="TableParagraph"/>
              <w:spacing w:line="230" w:lineRule="atLeast"/>
              <w:ind w:left="110" w:right="209"/>
              <w:rPr>
                <w:b/>
                <w:sz w:val="20"/>
              </w:rPr>
            </w:pPr>
            <w:r>
              <w:rPr>
                <w:b/>
                <w:sz w:val="20"/>
              </w:rPr>
              <w:t>West of Remaining Portion of Cemetery</w:t>
            </w:r>
          </w:p>
        </w:tc>
      </w:tr>
      <w:tr>
        <w:trPr>
          <w:trHeight w:val="4290" w:hRule="atLeast"/>
        </w:trPr>
        <w:tc>
          <w:tcPr>
            <w:tcW w:w="926" w:type="dxa"/>
          </w:tcPr>
          <w:p>
            <w:pPr>
              <w:pStyle w:val="TableParagraph"/>
              <w:rPr>
                <w:b/>
                <w:sz w:val="20"/>
              </w:rPr>
            </w:pPr>
            <w:r>
              <w:rPr>
                <w:b/>
                <w:sz w:val="20"/>
              </w:rPr>
              <w:t>Uses</w:t>
            </w:r>
          </w:p>
        </w:tc>
        <w:tc>
          <w:tcPr>
            <w:tcW w:w="1339" w:type="dxa"/>
          </w:tcPr>
          <w:p>
            <w:pPr>
              <w:pStyle w:val="TableParagraph"/>
              <w:rPr>
                <w:sz w:val="20"/>
              </w:rPr>
            </w:pPr>
            <w:r>
              <w:rPr>
                <w:sz w:val="20"/>
              </w:rPr>
              <w:t>Proposed</w:t>
            </w:r>
          </w:p>
          <w:p>
            <w:pPr>
              <w:pStyle w:val="TableParagraph"/>
              <w:spacing w:before="10"/>
              <w:ind w:left="0"/>
              <w:rPr>
                <w:rFonts w:ascii="Calibri"/>
                <w:sz w:val="22"/>
              </w:rPr>
            </w:pPr>
          </w:p>
          <w:p>
            <w:pPr>
              <w:pStyle w:val="TableParagraph"/>
              <w:ind w:right="181"/>
              <w:rPr>
                <w:sz w:val="20"/>
              </w:rPr>
            </w:pPr>
            <w:r>
              <w:rPr>
                <w:sz w:val="20"/>
              </w:rPr>
              <w:t>Warehouse/ Distribution/ Storage/</w:t>
            </w:r>
          </w:p>
        </w:tc>
        <w:tc>
          <w:tcPr>
            <w:tcW w:w="2093" w:type="dxa"/>
          </w:tcPr>
          <w:p>
            <w:pPr>
              <w:pStyle w:val="TableParagraph"/>
              <w:ind w:right="475"/>
              <w:rPr>
                <w:sz w:val="20"/>
              </w:rPr>
            </w:pPr>
            <w:r>
              <w:rPr>
                <w:sz w:val="20"/>
              </w:rPr>
              <w:t>Existing Light Industrial/ Heavy Commercial Uses:</w:t>
            </w:r>
          </w:p>
          <w:p>
            <w:pPr>
              <w:pStyle w:val="TableParagraph"/>
              <w:numPr>
                <w:ilvl w:val="0"/>
                <w:numId w:val="4"/>
              </w:numPr>
              <w:tabs>
                <w:tab w:pos="825" w:val="left" w:leader="none"/>
                <w:tab w:pos="826" w:val="left" w:leader="none"/>
              </w:tabs>
              <w:spacing w:line="245" w:lineRule="exact" w:before="1" w:after="0"/>
              <w:ind w:left="826" w:right="0" w:hanging="361"/>
              <w:jc w:val="left"/>
              <w:rPr>
                <w:sz w:val="20"/>
              </w:rPr>
            </w:pPr>
            <w:r>
              <w:rPr>
                <w:sz w:val="20"/>
              </w:rPr>
              <w:t>Mac</w:t>
            </w:r>
            <w:r>
              <w:rPr>
                <w:spacing w:val="-2"/>
                <w:sz w:val="20"/>
              </w:rPr>
              <w:t> </w:t>
            </w:r>
            <w:r>
              <w:rPr>
                <w:sz w:val="20"/>
              </w:rPr>
              <w:t>Papers</w:t>
            </w:r>
          </w:p>
          <w:p>
            <w:pPr>
              <w:pStyle w:val="TableParagraph"/>
              <w:numPr>
                <w:ilvl w:val="0"/>
                <w:numId w:val="4"/>
              </w:numPr>
              <w:tabs>
                <w:tab w:pos="825" w:val="left" w:leader="none"/>
                <w:tab w:pos="826" w:val="left" w:leader="none"/>
              </w:tabs>
              <w:spacing w:line="235" w:lineRule="auto" w:before="4" w:after="0"/>
              <w:ind w:left="825" w:right="304" w:hanging="360"/>
              <w:jc w:val="left"/>
              <w:rPr>
                <w:sz w:val="20"/>
              </w:rPr>
            </w:pPr>
            <w:r>
              <w:rPr>
                <w:sz w:val="20"/>
              </w:rPr>
              <w:t>Mini Mac Retail</w:t>
            </w:r>
            <w:r>
              <w:rPr>
                <w:spacing w:val="2"/>
                <w:sz w:val="20"/>
              </w:rPr>
              <w:t> </w:t>
            </w:r>
            <w:r>
              <w:rPr>
                <w:spacing w:val="-4"/>
                <w:sz w:val="20"/>
              </w:rPr>
              <w:t>Store</w:t>
            </w:r>
          </w:p>
          <w:p>
            <w:pPr>
              <w:pStyle w:val="TableParagraph"/>
              <w:numPr>
                <w:ilvl w:val="0"/>
                <w:numId w:val="4"/>
              </w:numPr>
              <w:tabs>
                <w:tab w:pos="825" w:val="left" w:leader="none"/>
                <w:tab w:pos="826" w:val="left" w:leader="none"/>
              </w:tabs>
              <w:spacing w:line="240" w:lineRule="auto" w:before="1" w:after="0"/>
              <w:ind w:left="825" w:right="565" w:hanging="360"/>
              <w:jc w:val="left"/>
              <w:rPr>
                <w:sz w:val="20"/>
              </w:rPr>
            </w:pPr>
            <w:r>
              <w:rPr>
                <w:spacing w:val="-1"/>
                <w:sz w:val="20"/>
              </w:rPr>
              <w:t>America Billiards</w:t>
            </w:r>
          </w:p>
          <w:p>
            <w:pPr>
              <w:pStyle w:val="TableParagraph"/>
              <w:numPr>
                <w:ilvl w:val="0"/>
                <w:numId w:val="4"/>
              </w:numPr>
              <w:tabs>
                <w:tab w:pos="825" w:val="left" w:leader="none"/>
                <w:tab w:pos="826" w:val="left" w:leader="none"/>
              </w:tabs>
              <w:spacing w:line="240" w:lineRule="auto" w:before="0" w:after="0"/>
              <w:ind w:left="825" w:right="499" w:hanging="360"/>
              <w:jc w:val="left"/>
              <w:rPr>
                <w:sz w:val="20"/>
              </w:rPr>
            </w:pPr>
            <w:r>
              <w:rPr>
                <w:sz w:val="20"/>
              </w:rPr>
              <w:t>Office Furniture </w:t>
            </w:r>
            <w:r>
              <w:rPr>
                <w:spacing w:val="-1"/>
                <w:sz w:val="20"/>
              </w:rPr>
              <w:t>Solutions</w:t>
            </w:r>
          </w:p>
          <w:p>
            <w:pPr>
              <w:pStyle w:val="TableParagraph"/>
              <w:numPr>
                <w:ilvl w:val="0"/>
                <w:numId w:val="4"/>
              </w:numPr>
              <w:tabs>
                <w:tab w:pos="825" w:val="left" w:leader="none"/>
                <w:tab w:pos="826" w:val="left" w:leader="none"/>
              </w:tabs>
              <w:spacing w:line="240" w:lineRule="auto" w:before="1" w:after="0"/>
              <w:ind w:left="825" w:right="404" w:hanging="360"/>
              <w:jc w:val="left"/>
              <w:rPr>
                <w:sz w:val="20"/>
              </w:rPr>
            </w:pPr>
            <w:r>
              <w:rPr>
                <w:sz w:val="20"/>
              </w:rPr>
              <w:t>Auto Plus Auto</w:t>
            </w:r>
            <w:r>
              <w:rPr>
                <w:spacing w:val="2"/>
                <w:sz w:val="20"/>
              </w:rPr>
              <w:t> </w:t>
            </w:r>
            <w:r>
              <w:rPr>
                <w:spacing w:val="-4"/>
                <w:sz w:val="20"/>
              </w:rPr>
              <w:t>Parts</w:t>
            </w:r>
          </w:p>
          <w:p>
            <w:pPr>
              <w:pStyle w:val="TableParagraph"/>
              <w:numPr>
                <w:ilvl w:val="0"/>
                <w:numId w:val="4"/>
              </w:numPr>
              <w:tabs>
                <w:tab w:pos="825" w:val="left" w:leader="none"/>
                <w:tab w:pos="826" w:val="left" w:leader="none"/>
              </w:tabs>
              <w:spacing w:line="240" w:lineRule="auto" w:before="0" w:after="0"/>
              <w:ind w:left="825" w:right="99" w:hanging="360"/>
              <w:jc w:val="left"/>
              <w:rPr>
                <w:sz w:val="20"/>
              </w:rPr>
            </w:pPr>
            <w:r>
              <w:rPr>
                <w:sz w:val="20"/>
              </w:rPr>
              <w:t>Kitchen and Home </w:t>
            </w:r>
            <w:r>
              <w:rPr>
                <w:spacing w:val="-1"/>
                <w:sz w:val="20"/>
              </w:rPr>
              <w:t>Improvements</w:t>
            </w:r>
          </w:p>
          <w:p>
            <w:pPr>
              <w:pStyle w:val="TableParagraph"/>
              <w:numPr>
                <w:ilvl w:val="0"/>
                <w:numId w:val="4"/>
              </w:numPr>
              <w:tabs>
                <w:tab w:pos="825" w:val="left" w:leader="none"/>
                <w:tab w:pos="826" w:val="left" w:leader="none"/>
              </w:tabs>
              <w:spacing w:line="240" w:lineRule="auto" w:before="1" w:after="0"/>
              <w:ind w:left="826" w:right="0" w:hanging="361"/>
              <w:jc w:val="left"/>
              <w:rPr>
                <w:sz w:val="20"/>
              </w:rPr>
            </w:pPr>
            <w:r>
              <w:rPr>
                <w:sz w:val="20"/>
              </w:rPr>
              <w:t>Sink</w:t>
            </w:r>
            <w:r>
              <w:rPr>
                <w:spacing w:val="-2"/>
                <w:sz w:val="20"/>
              </w:rPr>
              <w:t> </w:t>
            </w:r>
            <w:r>
              <w:rPr>
                <w:sz w:val="20"/>
              </w:rPr>
              <w:t>Outlet</w:t>
            </w:r>
          </w:p>
        </w:tc>
        <w:tc>
          <w:tcPr>
            <w:tcW w:w="2093" w:type="dxa"/>
          </w:tcPr>
          <w:p>
            <w:pPr>
              <w:pStyle w:val="TableParagraph"/>
              <w:ind w:right="475"/>
              <w:rPr>
                <w:sz w:val="20"/>
              </w:rPr>
            </w:pPr>
            <w:r>
              <w:rPr>
                <w:sz w:val="20"/>
              </w:rPr>
              <w:t>Existing Light Industrial/ Heavy Commercial Uses:</w:t>
            </w:r>
          </w:p>
          <w:p>
            <w:pPr>
              <w:pStyle w:val="TableParagraph"/>
              <w:numPr>
                <w:ilvl w:val="0"/>
                <w:numId w:val="5"/>
              </w:numPr>
              <w:tabs>
                <w:tab w:pos="825" w:val="left" w:leader="none"/>
                <w:tab w:pos="826" w:val="left" w:leader="none"/>
              </w:tabs>
              <w:spacing w:line="237" w:lineRule="auto" w:before="3" w:after="0"/>
              <w:ind w:left="825" w:right="98" w:hanging="360"/>
              <w:jc w:val="left"/>
              <w:rPr>
                <w:sz w:val="20"/>
              </w:rPr>
            </w:pPr>
            <w:r>
              <w:rPr>
                <w:sz w:val="20"/>
              </w:rPr>
              <w:t>U Haul </w:t>
            </w:r>
            <w:r>
              <w:rPr>
                <w:spacing w:val="-1"/>
                <w:sz w:val="20"/>
              </w:rPr>
              <w:t>Neighborhood </w:t>
            </w:r>
            <w:r>
              <w:rPr>
                <w:sz w:val="20"/>
              </w:rPr>
              <w:t>Dealer</w:t>
            </w:r>
          </w:p>
          <w:p>
            <w:pPr>
              <w:pStyle w:val="TableParagraph"/>
              <w:numPr>
                <w:ilvl w:val="0"/>
                <w:numId w:val="5"/>
              </w:numPr>
              <w:tabs>
                <w:tab w:pos="825" w:val="left" w:leader="none"/>
                <w:tab w:pos="826" w:val="left" w:leader="none"/>
              </w:tabs>
              <w:spacing w:line="240" w:lineRule="auto" w:before="1" w:after="0"/>
              <w:ind w:left="825" w:right="560" w:hanging="360"/>
              <w:jc w:val="left"/>
              <w:rPr>
                <w:sz w:val="20"/>
              </w:rPr>
            </w:pPr>
            <w:r>
              <w:rPr>
                <w:sz w:val="20"/>
              </w:rPr>
              <w:t>Ace </w:t>
            </w:r>
            <w:r>
              <w:rPr>
                <w:spacing w:val="-5"/>
                <w:sz w:val="20"/>
              </w:rPr>
              <w:t>Self </w:t>
            </w:r>
            <w:r>
              <w:rPr>
                <w:sz w:val="20"/>
              </w:rPr>
              <w:t>Storage</w:t>
            </w:r>
          </w:p>
          <w:p>
            <w:pPr>
              <w:pStyle w:val="TableParagraph"/>
              <w:numPr>
                <w:ilvl w:val="0"/>
                <w:numId w:val="5"/>
              </w:numPr>
              <w:tabs>
                <w:tab w:pos="825" w:val="left" w:leader="none"/>
                <w:tab w:pos="826" w:val="left" w:leader="none"/>
              </w:tabs>
              <w:spacing w:line="240" w:lineRule="auto" w:before="0" w:after="0"/>
              <w:ind w:left="825" w:right="177" w:hanging="360"/>
              <w:jc w:val="left"/>
              <w:rPr>
                <w:sz w:val="20"/>
              </w:rPr>
            </w:pPr>
            <w:r>
              <w:rPr>
                <w:sz w:val="20"/>
              </w:rPr>
              <w:t>Tri </w:t>
            </w:r>
            <w:r>
              <w:rPr>
                <w:spacing w:val="-1"/>
                <w:sz w:val="20"/>
              </w:rPr>
              <w:t>Development </w:t>
            </w:r>
            <w:r>
              <w:rPr>
                <w:sz w:val="20"/>
              </w:rPr>
              <w:t>Corp.</w:t>
            </w:r>
          </w:p>
        </w:tc>
        <w:tc>
          <w:tcPr>
            <w:tcW w:w="1733" w:type="dxa"/>
          </w:tcPr>
          <w:p>
            <w:pPr>
              <w:pStyle w:val="TableParagraph"/>
              <w:ind w:right="115"/>
              <w:rPr>
                <w:sz w:val="20"/>
              </w:rPr>
            </w:pPr>
            <w:r>
              <w:rPr>
                <w:sz w:val="20"/>
              </w:rPr>
              <w:t>Existing Light Industrial/ Heavy Commercial Uses:</w:t>
            </w:r>
          </w:p>
          <w:p>
            <w:pPr>
              <w:pStyle w:val="TableParagraph"/>
              <w:numPr>
                <w:ilvl w:val="0"/>
                <w:numId w:val="6"/>
              </w:numPr>
              <w:tabs>
                <w:tab w:pos="825" w:val="left" w:leader="none"/>
                <w:tab w:pos="826" w:val="left" w:leader="none"/>
              </w:tabs>
              <w:spacing w:line="240" w:lineRule="auto" w:before="1" w:after="0"/>
              <w:ind w:left="825" w:right="94" w:hanging="360"/>
              <w:jc w:val="left"/>
              <w:rPr>
                <w:sz w:val="20"/>
              </w:rPr>
            </w:pPr>
            <w:r>
              <w:rPr>
                <w:spacing w:val="-1"/>
                <w:sz w:val="20"/>
              </w:rPr>
              <w:t>Bathroom </w:t>
            </w:r>
            <w:r>
              <w:rPr>
                <w:sz w:val="20"/>
              </w:rPr>
              <w:t>Place</w:t>
            </w:r>
          </w:p>
          <w:p>
            <w:pPr>
              <w:pStyle w:val="TableParagraph"/>
              <w:numPr>
                <w:ilvl w:val="0"/>
                <w:numId w:val="6"/>
              </w:numPr>
              <w:tabs>
                <w:tab w:pos="825" w:val="left" w:leader="none"/>
                <w:tab w:pos="826" w:val="left" w:leader="none"/>
              </w:tabs>
              <w:spacing w:line="240" w:lineRule="auto" w:before="0" w:after="0"/>
              <w:ind w:left="825" w:right="95" w:hanging="360"/>
              <w:jc w:val="left"/>
              <w:rPr>
                <w:sz w:val="20"/>
              </w:rPr>
            </w:pPr>
            <w:r>
              <w:rPr>
                <w:sz w:val="20"/>
              </w:rPr>
              <w:t>Discount </w:t>
            </w:r>
            <w:r>
              <w:rPr>
                <w:spacing w:val="-1"/>
                <w:sz w:val="20"/>
              </w:rPr>
              <w:t>Computer </w:t>
            </w:r>
            <w:r>
              <w:rPr>
                <w:sz w:val="20"/>
              </w:rPr>
              <w:t>Surplus</w:t>
            </w:r>
          </w:p>
        </w:tc>
        <w:tc>
          <w:tcPr>
            <w:tcW w:w="1267" w:type="dxa"/>
          </w:tcPr>
          <w:p>
            <w:pPr>
              <w:pStyle w:val="TableParagraph"/>
              <w:ind w:left="110" w:right="171"/>
              <w:rPr>
                <w:sz w:val="20"/>
              </w:rPr>
            </w:pPr>
            <w:r>
              <w:rPr>
                <w:sz w:val="20"/>
              </w:rPr>
              <w:t>Existing Westview Community Cemetery</w:t>
            </w:r>
          </w:p>
        </w:tc>
        <w:tc>
          <w:tcPr>
            <w:tcW w:w="2093" w:type="dxa"/>
          </w:tcPr>
          <w:p>
            <w:pPr>
              <w:pStyle w:val="TableParagraph"/>
              <w:ind w:left="110" w:right="470"/>
              <w:rPr>
                <w:sz w:val="20"/>
              </w:rPr>
            </w:pPr>
            <w:r>
              <w:rPr>
                <w:sz w:val="20"/>
              </w:rPr>
              <w:t>Existing Light Industrial/ Heavy Commercial Uses:</w:t>
            </w:r>
          </w:p>
          <w:p>
            <w:pPr>
              <w:pStyle w:val="TableParagraph"/>
              <w:numPr>
                <w:ilvl w:val="0"/>
                <w:numId w:val="7"/>
              </w:numPr>
              <w:tabs>
                <w:tab w:pos="359" w:val="left" w:leader="none"/>
                <w:tab w:pos="360" w:val="left" w:leader="none"/>
              </w:tabs>
              <w:spacing w:line="245" w:lineRule="exact" w:before="1" w:after="0"/>
              <w:ind w:left="830" w:right="139" w:hanging="831"/>
              <w:jc w:val="right"/>
              <w:rPr>
                <w:sz w:val="20"/>
              </w:rPr>
            </w:pPr>
            <w:r>
              <w:rPr>
                <w:sz w:val="20"/>
              </w:rPr>
              <w:t>Value Store</w:t>
            </w:r>
            <w:r>
              <w:rPr>
                <w:spacing w:val="-4"/>
                <w:sz w:val="20"/>
              </w:rPr>
              <w:t> </w:t>
            </w:r>
            <w:r>
              <w:rPr>
                <w:sz w:val="20"/>
              </w:rPr>
              <w:t>it</w:t>
            </w:r>
          </w:p>
          <w:p>
            <w:pPr>
              <w:pStyle w:val="TableParagraph"/>
              <w:spacing w:line="228" w:lineRule="exact"/>
              <w:ind w:left="0" w:right="117"/>
              <w:jc w:val="right"/>
              <w:rPr>
                <w:sz w:val="20"/>
              </w:rPr>
            </w:pPr>
            <w:r>
              <w:rPr>
                <w:sz w:val="20"/>
              </w:rPr>
              <w:t>– Self</w:t>
            </w:r>
            <w:r>
              <w:rPr>
                <w:spacing w:val="-4"/>
                <w:sz w:val="20"/>
              </w:rPr>
              <w:t> </w:t>
            </w:r>
            <w:r>
              <w:rPr>
                <w:sz w:val="20"/>
              </w:rPr>
              <w:t>Storage</w:t>
            </w:r>
          </w:p>
          <w:p>
            <w:pPr>
              <w:pStyle w:val="TableParagraph"/>
              <w:numPr>
                <w:ilvl w:val="0"/>
                <w:numId w:val="7"/>
              </w:numPr>
              <w:tabs>
                <w:tab w:pos="830" w:val="left" w:leader="none"/>
                <w:tab w:pos="831" w:val="left" w:leader="none"/>
              </w:tabs>
              <w:spacing w:line="240" w:lineRule="auto" w:before="0" w:after="0"/>
              <w:ind w:left="830" w:right="94" w:hanging="360"/>
              <w:jc w:val="left"/>
              <w:rPr>
                <w:sz w:val="20"/>
              </w:rPr>
            </w:pPr>
            <w:r>
              <w:rPr>
                <w:sz w:val="20"/>
              </w:rPr>
              <w:t>U Haul </w:t>
            </w:r>
            <w:r>
              <w:rPr>
                <w:spacing w:val="-1"/>
                <w:sz w:val="20"/>
              </w:rPr>
              <w:t>Neighborhood </w:t>
            </w:r>
            <w:r>
              <w:rPr>
                <w:sz w:val="20"/>
              </w:rPr>
              <w:t>Dealer</w:t>
            </w:r>
          </w:p>
          <w:p>
            <w:pPr>
              <w:pStyle w:val="TableParagraph"/>
              <w:numPr>
                <w:ilvl w:val="0"/>
                <w:numId w:val="7"/>
              </w:numPr>
              <w:tabs>
                <w:tab w:pos="830" w:val="left" w:leader="none"/>
                <w:tab w:pos="831" w:val="left" w:leader="none"/>
              </w:tabs>
              <w:spacing w:line="240" w:lineRule="auto" w:before="0" w:after="0"/>
              <w:ind w:left="830" w:right="0" w:hanging="361"/>
              <w:jc w:val="left"/>
              <w:rPr>
                <w:sz w:val="20"/>
              </w:rPr>
            </w:pPr>
            <w:r>
              <w:rPr>
                <w:sz w:val="20"/>
              </w:rPr>
              <w:t>Pilot</w:t>
            </w:r>
            <w:r>
              <w:rPr>
                <w:spacing w:val="-2"/>
                <w:sz w:val="20"/>
              </w:rPr>
              <w:t> </w:t>
            </w:r>
            <w:r>
              <w:rPr>
                <w:sz w:val="20"/>
              </w:rPr>
              <w:t>Steel</w:t>
            </w:r>
          </w:p>
        </w:tc>
      </w:tr>
    </w:tbl>
    <w:p>
      <w:pPr>
        <w:pStyle w:val="BodyText"/>
        <w:spacing w:before="11"/>
        <w:rPr>
          <w:sz w:val="17"/>
        </w:rPr>
      </w:pPr>
    </w:p>
    <w:p>
      <w:pPr>
        <w:pStyle w:val="Heading2"/>
        <w:spacing w:before="100"/>
        <w:ind w:left="989"/>
        <w:rPr>
          <w:b w:val="0"/>
        </w:rPr>
      </w:pPr>
      <w:bookmarkStart w:name="_TOC_250012" w:id="10"/>
      <w:bookmarkEnd w:id="10"/>
      <w:r>
        <w:rPr>
          <w:b w:val="0"/>
        </w:rPr>
        <w:t>Part 6 - Proposed Development</w:t>
      </w:r>
    </w:p>
    <w:p>
      <w:pPr>
        <w:pStyle w:val="Heading3"/>
        <w:spacing w:before="277"/>
        <w:rPr>
          <w:rFonts w:ascii="Times New Roman"/>
        </w:rPr>
      </w:pPr>
      <w:r>
        <w:rPr>
          <w:rFonts w:ascii="Times New Roman"/>
          <w:u w:val="thick"/>
        </w:rPr>
        <w:t>Maximum allowable development:</w:t>
      </w:r>
    </w:p>
    <w:p>
      <w:pPr>
        <w:pStyle w:val="BodyText"/>
        <w:spacing w:before="2"/>
        <w:rPr>
          <w:rFonts w:ascii="Times New Roman"/>
          <w:b/>
          <w:sz w:val="16"/>
        </w:rPr>
      </w:pPr>
    </w:p>
    <w:p>
      <w:pPr>
        <w:pStyle w:val="BodyText"/>
        <w:spacing w:before="90"/>
        <w:ind w:left="1709" w:right="1408"/>
        <w:jc w:val="both"/>
        <w:rPr>
          <w:rFonts w:ascii="Times New Roman" w:hAnsi="Times New Roman"/>
        </w:rPr>
      </w:pPr>
      <w:r>
        <w:rPr>
          <w:rFonts w:ascii="Times New Roman" w:hAnsi="Times New Roman"/>
        </w:rPr>
        <w:t>The proposed use of the subject property is “general industrial”, which would allow for light industrial uses, such as manufacturing, assembly, fabrication, processing, distribution, warehousing, research and development , and other industrial uses, but not heavy or hazardous manufacturing processes, consistent with the I-1 General Industrial zoning of the surrounding area.</w:t>
      </w:r>
    </w:p>
    <w:p>
      <w:pPr>
        <w:pStyle w:val="BodyText"/>
        <w:spacing w:before="10"/>
        <w:rPr>
          <w:rFonts w:ascii="Times New Roman"/>
        </w:rPr>
      </w:pPr>
    </w:p>
    <w:p>
      <w:pPr>
        <w:pStyle w:val="BodyText"/>
        <w:ind w:left="2429" w:right="1409"/>
        <w:jc w:val="both"/>
        <w:rPr>
          <w:rFonts w:ascii="Times New Roman" w:hAnsi="Times New Roman"/>
        </w:rPr>
      </w:pPr>
      <w:r>
        <w:rPr>
          <w:rFonts w:ascii="Times New Roman" w:hAnsi="Times New Roman"/>
        </w:rPr>
        <w:t>As specified under the City’s general industrial zoning provisions, the subject property would be limited to a maximum 65% lot coverage, which would permit a maximum</w:t>
      </w:r>
      <w:r>
        <w:rPr>
          <w:rFonts w:ascii="Times New Roman" w:hAnsi="Times New Roman"/>
          <w:spacing w:val="-11"/>
        </w:rPr>
        <w:t> </w:t>
      </w:r>
      <w:r>
        <w:rPr>
          <w:rFonts w:ascii="Times New Roman" w:hAnsi="Times New Roman"/>
        </w:rPr>
        <w:t>of</w:t>
      </w:r>
      <w:r>
        <w:rPr>
          <w:rFonts w:ascii="Times New Roman" w:hAnsi="Times New Roman"/>
          <w:spacing w:val="-10"/>
        </w:rPr>
        <w:t> </w:t>
      </w:r>
      <w:r>
        <w:rPr>
          <w:rFonts w:ascii="Times New Roman" w:hAnsi="Times New Roman"/>
        </w:rPr>
        <w:t>509,414</w:t>
      </w:r>
      <w:r>
        <w:rPr>
          <w:rFonts w:ascii="Times New Roman" w:hAnsi="Times New Roman"/>
          <w:spacing w:val="-11"/>
        </w:rPr>
        <w:t> </w:t>
      </w:r>
      <w:r>
        <w:rPr>
          <w:rFonts w:ascii="Times New Roman" w:hAnsi="Times New Roman"/>
        </w:rPr>
        <w:t>SF</w:t>
      </w:r>
      <w:r>
        <w:rPr>
          <w:rFonts w:ascii="Times New Roman" w:hAnsi="Times New Roman"/>
          <w:spacing w:val="-10"/>
        </w:rPr>
        <w:t> </w:t>
      </w:r>
      <w:r>
        <w:rPr>
          <w:rFonts w:ascii="Times New Roman" w:hAnsi="Times New Roman"/>
        </w:rPr>
        <w:t>of</w:t>
      </w:r>
      <w:r>
        <w:rPr>
          <w:rFonts w:ascii="Times New Roman" w:hAnsi="Times New Roman"/>
          <w:spacing w:val="-11"/>
        </w:rPr>
        <w:t> </w:t>
      </w:r>
      <w:r>
        <w:rPr>
          <w:rFonts w:ascii="Times New Roman" w:hAnsi="Times New Roman"/>
        </w:rPr>
        <w:t>general</w:t>
      </w:r>
      <w:r>
        <w:rPr>
          <w:rFonts w:ascii="Times New Roman" w:hAnsi="Times New Roman"/>
          <w:spacing w:val="-10"/>
        </w:rPr>
        <w:t> </w:t>
      </w:r>
      <w:r>
        <w:rPr>
          <w:rFonts w:ascii="Times New Roman" w:hAnsi="Times New Roman"/>
        </w:rPr>
        <w:t>industrial</w:t>
      </w:r>
      <w:r>
        <w:rPr>
          <w:rFonts w:ascii="Times New Roman" w:hAnsi="Times New Roman"/>
          <w:spacing w:val="-10"/>
        </w:rPr>
        <w:t> </w:t>
      </w:r>
      <w:r>
        <w:rPr>
          <w:rFonts w:ascii="Times New Roman" w:hAnsi="Times New Roman"/>
        </w:rPr>
        <w:t>development</w:t>
      </w:r>
      <w:r>
        <w:rPr>
          <w:rFonts w:ascii="Times New Roman" w:hAnsi="Times New Roman"/>
          <w:spacing w:val="-11"/>
        </w:rPr>
        <w:t> </w:t>
      </w:r>
      <w:r>
        <w:rPr>
          <w:rFonts w:ascii="Times New Roman" w:hAnsi="Times New Roman"/>
        </w:rPr>
        <w:t>on</w:t>
      </w:r>
      <w:r>
        <w:rPr>
          <w:rFonts w:ascii="Times New Roman" w:hAnsi="Times New Roman"/>
          <w:spacing w:val="-10"/>
        </w:rPr>
        <w:t> </w:t>
      </w:r>
      <w:r>
        <w:rPr>
          <w:rFonts w:ascii="Times New Roman" w:hAnsi="Times New Roman"/>
        </w:rPr>
        <w:t>the</w:t>
      </w:r>
      <w:r>
        <w:rPr>
          <w:rFonts w:ascii="Times New Roman" w:hAnsi="Times New Roman"/>
          <w:spacing w:val="-11"/>
        </w:rPr>
        <w:t> </w:t>
      </w:r>
      <w:r>
        <w:rPr>
          <w:rFonts w:ascii="Times New Roman" w:hAnsi="Times New Roman"/>
        </w:rPr>
        <w:t>subject</w:t>
      </w:r>
      <w:r>
        <w:rPr>
          <w:rFonts w:ascii="Times New Roman" w:hAnsi="Times New Roman"/>
          <w:spacing w:val="-10"/>
        </w:rPr>
        <w:t> </w:t>
      </w:r>
      <w:r>
        <w:rPr>
          <w:rFonts w:ascii="Times New Roman" w:hAnsi="Times New Roman"/>
        </w:rPr>
        <w:t>property, with a maximum height of 45</w:t>
      </w:r>
      <w:r>
        <w:rPr>
          <w:rFonts w:ascii="Times New Roman" w:hAnsi="Times New Roman"/>
          <w:spacing w:val="-4"/>
        </w:rPr>
        <w:t> </w:t>
      </w:r>
      <w:r>
        <w:rPr>
          <w:rFonts w:ascii="Times New Roman" w:hAnsi="Times New Roman"/>
        </w:rPr>
        <w:t>ft.</w:t>
      </w:r>
    </w:p>
    <w:p>
      <w:pPr>
        <w:pStyle w:val="BodyText"/>
        <w:spacing w:before="9"/>
        <w:rPr>
          <w:rFonts w:ascii="Times New Roman"/>
          <w:sz w:val="23"/>
        </w:rPr>
      </w:pPr>
    </w:p>
    <w:p>
      <w:pPr>
        <w:pStyle w:val="BodyText"/>
        <w:ind w:left="2429" w:right="1408"/>
        <w:jc w:val="both"/>
        <w:rPr>
          <w:rFonts w:ascii="Times New Roman"/>
        </w:rPr>
      </w:pPr>
      <w:r>
        <w:rPr>
          <w:rFonts w:ascii="Times New Roman"/>
        </w:rPr>
        <w:t>For</w:t>
      </w:r>
      <w:r>
        <w:rPr>
          <w:rFonts w:ascii="Times New Roman"/>
          <w:spacing w:val="-13"/>
        </w:rPr>
        <w:t> </w:t>
      </w:r>
      <w:r>
        <w:rPr>
          <w:rFonts w:ascii="Times New Roman"/>
        </w:rPr>
        <w:t>the</w:t>
      </w:r>
      <w:r>
        <w:rPr>
          <w:rFonts w:ascii="Times New Roman"/>
          <w:spacing w:val="-12"/>
        </w:rPr>
        <w:t> </w:t>
      </w:r>
      <w:r>
        <w:rPr>
          <w:rFonts w:ascii="Times New Roman"/>
        </w:rPr>
        <w:t>purposes</w:t>
      </w:r>
      <w:r>
        <w:rPr>
          <w:rFonts w:ascii="Times New Roman"/>
          <w:spacing w:val="-13"/>
        </w:rPr>
        <w:t> </w:t>
      </w:r>
      <w:r>
        <w:rPr>
          <w:rFonts w:ascii="Times New Roman"/>
        </w:rPr>
        <w:t>of</w:t>
      </w:r>
      <w:r>
        <w:rPr>
          <w:rFonts w:ascii="Times New Roman"/>
          <w:spacing w:val="-12"/>
        </w:rPr>
        <w:t> </w:t>
      </w:r>
      <w:r>
        <w:rPr>
          <w:rFonts w:ascii="Times New Roman"/>
        </w:rPr>
        <w:t>determining</w:t>
      </w:r>
      <w:r>
        <w:rPr>
          <w:rFonts w:ascii="Times New Roman"/>
          <w:spacing w:val="-12"/>
        </w:rPr>
        <w:t> </w:t>
      </w:r>
      <w:r>
        <w:rPr>
          <w:rFonts w:ascii="Times New Roman"/>
        </w:rPr>
        <w:t>changes</w:t>
      </w:r>
      <w:r>
        <w:rPr>
          <w:rFonts w:ascii="Times New Roman"/>
          <w:spacing w:val="-13"/>
        </w:rPr>
        <w:t> </w:t>
      </w:r>
      <w:r>
        <w:rPr>
          <w:rFonts w:ascii="Times New Roman"/>
        </w:rPr>
        <w:t>in</w:t>
      </w:r>
      <w:r>
        <w:rPr>
          <w:rFonts w:ascii="Times New Roman"/>
          <w:spacing w:val="-12"/>
        </w:rPr>
        <w:t> </w:t>
      </w:r>
      <w:r>
        <w:rPr>
          <w:rFonts w:ascii="Times New Roman"/>
        </w:rPr>
        <w:t>intensity</w:t>
      </w:r>
      <w:r>
        <w:rPr>
          <w:rFonts w:ascii="Times New Roman"/>
          <w:spacing w:val="-12"/>
        </w:rPr>
        <w:t> </w:t>
      </w:r>
      <w:r>
        <w:rPr>
          <w:rFonts w:ascii="Times New Roman"/>
        </w:rPr>
        <w:t>of</w:t>
      </w:r>
      <w:r>
        <w:rPr>
          <w:rFonts w:ascii="Times New Roman"/>
          <w:spacing w:val="-13"/>
        </w:rPr>
        <w:t> </w:t>
      </w:r>
      <w:r>
        <w:rPr>
          <w:rFonts w:ascii="Times New Roman"/>
        </w:rPr>
        <w:t>use,</w:t>
      </w:r>
      <w:r>
        <w:rPr>
          <w:rFonts w:ascii="Times New Roman"/>
          <w:spacing w:val="-12"/>
        </w:rPr>
        <w:t> </w:t>
      </w:r>
      <w:r>
        <w:rPr>
          <w:rFonts w:ascii="Times New Roman"/>
        </w:rPr>
        <w:t>the</w:t>
      </w:r>
      <w:r>
        <w:rPr>
          <w:rFonts w:ascii="Times New Roman"/>
          <w:spacing w:val="-12"/>
        </w:rPr>
        <w:t> </w:t>
      </w:r>
      <w:r>
        <w:rPr>
          <w:rFonts w:ascii="Times New Roman"/>
        </w:rPr>
        <w:t>updated</w:t>
      </w:r>
      <w:r>
        <w:rPr>
          <w:rFonts w:ascii="Times New Roman"/>
          <w:spacing w:val="-13"/>
        </w:rPr>
        <w:t> </w:t>
      </w:r>
      <w:r>
        <w:rPr>
          <w:rFonts w:ascii="Times New Roman"/>
        </w:rPr>
        <w:t>application has applied the existing vested rights under the Community Facility Land Use category,</w:t>
      </w:r>
      <w:r>
        <w:rPr>
          <w:rFonts w:ascii="Times New Roman"/>
          <w:spacing w:val="-16"/>
        </w:rPr>
        <w:t> </w:t>
      </w:r>
      <w:r>
        <w:rPr>
          <w:rFonts w:ascii="Times New Roman"/>
        </w:rPr>
        <w:t>which</w:t>
      </w:r>
      <w:r>
        <w:rPr>
          <w:rFonts w:ascii="Times New Roman"/>
          <w:spacing w:val="-16"/>
        </w:rPr>
        <w:t> </w:t>
      </w:r>
      <w:r>
        <w:rPr>
          <w:rFonts w:ascii="Times New Roman"/>
        </w:rPr>
        <w:t>allows</w:t>
      </w:r>
      <w:r>
        <w:rPr>
          <w:rFonts w:ascii="Times New Roman"/>
          <w:spacing w:val="-16"/>
        </w:rPr>
        <w:t> </w:t>
      </w:r>
      <w:r>
        <w:rPr>
          <w:rFonts w:ascii="Times New Roman"/>
        </w:rPr>
        <w:t>up</w:t>
      </w:r>
      <w:r>
        <w:rPr>
          <w:rFonts w:ascii="Times New Roman"/>
          <w:spacing w:val="-16"/>
        </w:rPr>
        <w:t> </w:t>
      </w:r>
      <w:r>
        <w:rPr>
          <w:rFonts w:ascii="Times New Roman"/>
        </w:rPr>
        <w:t>to</w:t>
      </w:r>
      <w:r>
        <w:rPr>
          <w:rFonts w:ascii="Times New Roman"/>
          <w:spacing w:val="-16"/>
        </w:rPr>
        <w:t> </w:t>
      </w:r>
      <w:r>
        <w:rPr>
          <w:rFonts w:ascii="Times New Roman"/>
        </w:rPr>
        <w:t>293,893</w:t>
      </w:r>
      <w:r>
        <w:rPr>
          <w:rFonts w:ascii="Times New Roman"/>
          <w:spacing w:val="-16"/>
        </w:rPr>
        <w:t> </w:t>
      </w:r>
      <w:r>
        <w:rPr>
          <w:rFonts w:ascii="Times New Roman"/>
        </w:rPr>
        <w:t>SF</w:t>
      </w:r>
      <w:r>
        <w:rPr>
          <w:rFonts w:ascii="Times New Roman"/>
          <w:spacing w:val="-16"/>
        </w:rPr>
        <w:t> </w:t>
      </w:r>
      <w:r>
        <w:rPr>
          <w:rFonts w:ascii="Times New Roman"/>
        </w:rPr>
        <w:t>of</w:t>
      </w:r>
      <w:r>
        <w:rPr>
          <w:rFonts w:ascii="Times New Roman"/>
          <w:spacing w:val="-16"/>
        </w:rPr>
        <w:t> </w:t>
      </w:r>
      <w:r>
        <w:rPr>
          <w:rFonts w:ascii="Times New Roman"/>
        </w:rPr>
        <w:t>community</w:t>
      </w:r>
      <w:r>
        <w:rPr>
          <w:rFonts w:ascii="Times New Roman"/>
          <w:spacing w:val="-15"/>
        </w:rPr>
        <w:t> </w:t>
      </w:r>
      <w:r>
        <w:rPr>
          <w:rFonts w:ascii="Times New Roman"/>
        </w:rPr>
        <w:t>facility</w:t>
      </w:r>
      <w:r>
        <w:rPr>
          <w:rFonts w:ascii="Times New Roman"/>
          <w:spacing w:val="-16"/>
        </w:rPr>
        <w:t> </w:t>
      </w:r>
      <w:r>
        <w:rPr>
          <w:rFonts w:ascii="Times New Roman"/>
        </w:rPr>
        <w:t>use</w:t>
      </w:r>
      <w:r>
        <w:rPr>
          <w:rFonts w:ascii="Times New Roman"/>
          <w:spacing w:val="-16"/>
        </w:rPr>
        <w:t> </w:t>
      </w:r>
      <w:r>
        <w:rPr>
          <w:rFonts w:ascii="Times New Roman"/>
        </w:rPr>
        <w:t>on</w:t>
      </w:r>
      <w:r>
        <w:rPr>
          <w:rFonts w:ascii="Times New Roman"/>
          <w:spacing w:val="-16"/>
        </w:rPr>
        <w:t> </w:t>
      </w:r>
      <w:r>
        <w:rPr>
          <w:rFonts w:ascii="Times New Roman"/>
        </w:rPr>
        <w:t>the</w:t>
      </w:r>
      <w:r>
        <w:rPr>
          <w:rFonts w:ascii="Times New Roman"/>
          <w:spacing w:val="-16"/>
        </w:rPr>
        <w:t> </w:t>
      </w:r>
      <w:r>
        <w:rPr>
          <w:rFonts w:ascii="Times New Roman"/>
        </w:rPr>
        <w:t>site</w:t>
      </w:r>
      <w:r>
        <w:rPr>
          <w:rFonts w:ascii="Times New Roman"/>
          <w:spacing w:val="-16"/>
        </w:rPr>
        <w:t> </w:t>
      </w:r>
      <w:r>
        <w:rPr>
          <w:rFonts w:ascii="Times New Roman"/>
        </w:rPr>
        <w:t>based on a 25% maximum lot coverage and 60 ft height limit = 1.5 Floor Area Ratio (FAR):</w:t>
      </w:r>
    </w:p>
    <w:p>
      <w:pPr>
        <w:pStyle w:val="BodyText"/>
        <w:spacing w:before="5"/>
        <w:rPr>
          <w:rFonts w:ascii="Times New Roman"/>
        </w:rPr>
      </w:pPr>
    </w:p>
    <w:p>
      <w:pPr>
        <w:pStyle w:val="BodyText"/>
        <w:spacing w:line="242" w:lineRule="auto"/>
        <w:ind w:left="2429" w:right="1408"/>
        <w:jc w:val="both"/>
        <w:rPr>
          <w:rFonts w:ascii="Times New Roman"/>
        </w:rPr>
      </w:pPr>
      <w:r>
        <w:rPr>
          <w:rFonts w:ascii="Times New Roman"/>
        </w:rPr>
        <w:t>The net difference as a result of the proposed land use change from community facility use to a general industrial is an additional +215,521 SF of development that would be permitted on the subject property.</w:t>
      </w:r>
    </w:p>
    <w:p>
      <w:pPr>
        <w:spacing w:after="0" w:line="242" w:lineRule="auto"/>
        <w:jc w:val="both"/>
        <w:rPr>
          <w:rFonts w:ascii="Times New Roman"/>
        </w:rPr>
        <w:sectPr>
          <w:pgSz w:w="12240" w:h="15840"/>
          <w:pgMar w:header="0" w:footer="901" w:top="1440" w:bottom="1100" w:left="460" w:right="20"/>
        </w:sectPr>
      </w:pPr>
    </w:p>
    <w:p>
      <w:pPr>
        <w:pStyle w:val="BodyText"/>
        <w:spacing w:before="7"/>
        <w:rPr>
          <w:rFonts w:ascii="Times New Roman"/>
          <w:sz w:val="17"/>
        </w:rPr>
      </w:pPr>
    </w:p>
    <w:p>
      <w:pPr>
        <w:pStyle w:val="Heading2"/>
        <w:spacing w:before="99"/>
        <w:ind w:left="989"/>
        <w:rPr>
          <w:b w:val="0"/>
        </w:rPr>
      </w:pPr>
      <w:bookmarkStart w:name="_TOC_250011" w:id="11"/>
      <w:bookmarkEnd w:id="11"/>
      <w:r>
        <w:rPr>
          <w:b w:val="0"/>
        </w:rPr>
        <w:t>Part 7 - Applicability of City Industrial Design Standards</w:t>
      </w:r>
    </w:p>
    <w:p>
      <w:pPr>
        <w:pStyle w:val="BodyText"/>
        <w:spacing w:before="9"/>
        <w:rPr>
          <w:rFonts w:ascii="Calibri Light"/>
          <w:b w:val="0"/>
        </w:rPr>
      </w:pPr>
    </w:p>
    <w:p>
      <w:pPr>
        <w:spacing w:before="0"/>
        <w:ind w:left="1709" w:right="1577" w:hanging="360"/>
        <w:jc w:val="left"/>
        <w:rPr>
          <w:sz w:val="24"/>
        </w:rPr>
      </w:pPr>
      <w:r>
        <w:rPr>
          <w:sz w:val="24"/>
        </w:rPr>
        <w:t>1. The proposed development of the site is for similar light industrial/special industrial uses and will be subject to the regulations contained in the </w:t>
      </w:r>
      <w:r>
        <w:rPr>
          <w:b/>
          <w:i/>
          <w:sz w:val="24"/>
        </w:rPr>
        <w:t>City’s Zoning Code, Section </w:t>
      </w:r>
      <w:r>
        <w:rPr>
          <w:b/>
          <w:i/>
          <w:sz w:val="24"/>
        </w:rPr>
        <w:t>155.5603 Industrial Design Standards</w:t>
      </w:r>
      <w:r>
        <w:rPr>
          <w:sz w:val="24"/>
        </w:rPr>
        <w:t>.</w:t>
      </w:r>
    </w:p>
    <w:p>
      <w:pPr>
        <w:pStyle w:val="BodyText"/>
        <w:spacing w:before="8"/>
        <w:rPr>
          <w:sz w:val="26"/>
        </w:rPr>
      </w:pPr>
    </w:p>
    <w:p>
      <w:pPr>
        <w:pStyle w:val="Heading2"/>
        <w:ind w:left="989"/>
        <w:rPr>
          <w:b w:val="0"/>
        </w:rPr>
      </w:pPr>
      <w:bookmarkStart w:name="_TOC_250010" w:id="12"/>
      <w:bookmarkEnd w:id="12"/>
      <w:r>
        <w:rPr>
          <w:b w:val="0"/>
        </w:rPr>
        <w:t>Part 8 - Consistent with the City Plans</w:t>
      </w:r>
    </w:p>
    <w:p>
      <w:pPr>
        <w:pStyle w:val="BodyText"/>
        <w:spacing w:before="4"/>
        <w:rPr>
          <w:rFonts w:ascii="Calibri Light"/>
          <w:b w:val="0"/>
        </w:rPr>
      </w:pPr>
    </w:p>
    <w:p>
      <w:pPr>
        <w:pStyle w:val="ListParagraph"/>
        <w:numPr>
          <w:ilvl w:val="0"/>
          <w:numId w:val="8"/>
        </w:numPr>
        <w:tabs>
          <w:tab w:pos="1710" w:val="left" w:leader="none"/>
        </w:tabs>
        <w:spacing w:line="240" w:lineRule="auto" w:before="0" w:after="0"/>
        <w:ind w:left="1709" w:right="1425" w:hanging="360"/>
        <w:jc w:val="left"/>
        <w:rPr>
          <w:b/>
          <w:i/>
          <w:sz w:val="24"/>
        </w:rPr>
      </w:pPr>
      <w:r>
        <w:rPr>
          <w:sz w:val="24"/>
        </w:rPr>
        <w:t>The rezoning request is consistent with the City of Pompano Beach Comprehensive Plan, as reflected in </w:t>
      </w:r>
      <w:r>
        <w:rPr>
          <w:b/>
          <w:i/>
          <w:sz w:val="24"/>
        </w:rPr>
        <w:t>Exhibit</w:t>
      </w:r>
      <w:r>
        <w:rPr>
          <w:b/>
          <w:i/>
          <w:spacing w:val="-2"/>
          <w:sz w:val="24"/>
        </w:rPr>
        <w:t> </w:t>
      </w:r>
      <w:r>
        <w:rPr>
          <w:b/>
          <w:i/>
          <w:sz w:val="24"/>
        </w:rPr>
        <w:t>G.</w:t>
      </w:r>
    </w:p>
    <w:p>
      <w:pPr>
        <w:pStyle w:val="BodyText"/>
        <w:rPr>
          <w:b/>
          <w:i/>
        </w:rPr>
      </w:pPr>
    </w:p>
    <w:p>
      <w:pPr>
        <w:pStyle w:val="ListParagraph"/>
        <w:numPr>
          <w:ilvl w:val="0"/>
          <w:numId w:val="8"/>
        </w:numPr>
        <w:tabs>
          <w:tab w:pos="1710" w:val="left" w:leader="none"/>
        </w:tabs>
        <w:spacing w:line="240" w:lineRule="auto" w:before="0" w:after="0"/>
        <w:ind w:left="1709" w:right="1588" w:hanging="360"/>
        <w:jc w:val="left"/>
        <w:rPr>
          <w:b/>
          <w:i/>
          <w:sz w:val="24"/>
        </w:rPr>
      </w:pPr>
      <w:r>
        <w:rPr>
          <w:b/>
          <w:sz w:val="24"/>
        </w:rPr>
        <w:t>Consistent with the City of Pompano Beach Northwest Community Redevelopment (NWCRA) Plan: </w:t>
      </w:r>
      <w:r>
        <w:rPr>
          <w:sz w:val="24"/>
        </w:rPr>
        <w:t>The subject property is located in the Northwest Community Redevelopment Area, and is consistent with the NWCRA Plan, as reflected in </w:t>
      </w:r>
      <w:r>
        <w:rPr>
          <w:b/>
          <w:i/>
          <w:sz w:val="24"/>
        </w:rPr>
        <w:t>Exhibit</w:t>
      </w:r>
      <w:r>
        <w:rPr>
          <w:b/>
          <w:i/>
          <w:spacing w:val="-11"/>
          <w:sz w:val="24"/>
        </w:rPr>
        <w:t> </w:t>
      </w:r>
      <w:r>
        <w:rPr>
          <w:b/>
          <w:i/>
          <w:sz w:val="24"/>
        </w:rPr>
        <w:t>H.</w:t>
      </w:r>
    </w:p>
    <w:p>
      <w:pPr>
        <w:spacing w:after="0" w:line="240" w:lineRule="auto"/>
        <w:jc w:val="left"/>
        <w:rPr>
          <w:sz w:val="24"/>
        </w:rPr>
        <w:sectPr>
          <w:pgSz w:w="12240" w:h="15840"/>
          <w:pgMar w:header="0" w:footer="901" w:top="1500" w:bottom="1100" w:left="460" w:right="20"/>
        </w:sect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spacing w:before="1"/>
        <w:rPr>
          <w:b/>
          <w:i/>
          <w:sz w:val="19"/>
        </w:rPr>
      </w:pPr>
    </w:p>
    <w:p>
      <w:pPr>
        <w:pStyle w:val="Heading1"/>
        <w:spacing w:before="102"/>
        <w:ind w:right="1232"/>
        <w:jc w:val="center"/>
        <w:rPr>
          <w:b w:val="0"/>
        </w:rPr>
      </w:pPr>
      <w:bookmarkStart w:name="_TOC_250009" w:id="13"/>
      <w:bookmarkEnd w:id="13"/>
      <w:r>
        <w:rPr>
          <w:b w:val="0"/>
        </w:rPr>
        <w:t>EXHIBITS</w:t>
      </w:r>
    </w:p>
    <w:p>
      <w:pPr>
        <w:spacing w:after="0"/>
        <w:jc w:val="center"/>
        <w:sectPr>
          <w:pgSz w:w="12240" w:h="15840"/>
          <w:pgMar w:header="0" w:footer="901" w:top="1500" w:bottom="1100" w:left="460" w:right="20"/>
        </w:sectPr>
      </w:pPr>
    </w:p>
    <w:p>
      <w:pPr>
        <w:pStyle w:val="Heading2"/>
        <w:spacing w:before="86" w:after="22"/>
        <w:ind w:right="1234"/>
        <w:jc w:val="center"/>
        <w:rPr>
          <w:b w:val="0"/>
        </w:rPr>
      </w:pPr>
      <w:bookmarkStart w:name="_TOC_250008" w:id="14"/>
      <w:bookmarkEnd w:id="14"/>
      <w:r>
        <w:rPr>
          <w:b w:val="0"/>
        </w:rPr>
        <w:t>Exhibit A- Current Survey</w:t>
      </w:r>
    </w:p>
    <w:p>
      <w:pPr>
        <w:pStyle w:val="BodyText"/>
        <w:ind w:left="1007"/>
        <w:rPr>
          <w:rFonts w:ascii="Calibri Light"/>
          <w:sz w:val="20"/>
        </w:rPr>
      </w:pPr>
      <w:r>
        <w:rPr>
          <w:rFonts w:ascii="Calibri Light"/>
          <w:sz w:val="20"/>
        </w:rPr>
        <w:drawing>
          <wp:inline distT="0" distB="0" distL="0" distR="0">
            <wp:extent cx="5976540" cy="3984498"/>
            <wp:effectExtent l="0" t="0" r="0" b="0"/>
            <wp:docPr id="5" name="image8.jpeg"/>
            <wp:cNvGraphicFramePr>
              <a:graphicFrameLocks noChangeAspect="1"/>
            </wp:cNvGraphicFramePr>
            <a:graphic>
              <a:graphicData uri="http://schemas.openxmlformats.org/drawingml/2006/picture">
                <pic:pic>
                  <pic:nvPicPr>
                    <pic:cNvPr id="6" name="image8.jpeg"/>
                    <pic:cNvPicPr/>
                  </pic:nvPicPr>
                  <pic:blipFill>
                    <a:blip r:embed="rId15" cstate="print"/>
                    <a:stretch>
                      <a:fillRect/>
                    </a:stretch>
                  </pic:blipFill>
                  <pic:spPr>
                    <a:xfrm>
                      <a:off x="0" y="0"/>
                      <a:ext cx="5976540" cy="3984498"/>
                    </a:xfrm>
                    <a:prstGeom prst="rect">
                      <a:avLst/>
                    </a:prstGeom>
                  </pic:spPr>
                </pic:pic>
              </a:graphicData>
            </a:graphic>
          </wp:inline>
        </w:drawing>
      </w:r>
      <w:r>
        <w:rPr>
          <w:rFonts w:ascii="Calibri Light"/>
          <w:sz w:val="20"/>
        </w:rPr>
      </w:r>
    </w:p>
    <w:p>
      <w:pPr>
        <w:pStyle w:val="BodyText"/>
        <w:rPr>
          <w:rFonts w:ascii="Calibri Light"/>
          <w:b w:val="0"/>
          <w:sz w:val="20"/>
        </w:rPr>
      </w:pPr>
    </w:p>
    <w:p>
      <w:pPr>
        <w:pStyle w:val="BodyText"/>
        <w:spacing w:before="7"/>
        <w:rPr>
          <w:rFonts w:ascii="Calibri Light"/>
          <w:b w:val="0"/>
          <w:sz w:val="23"/>
        </w:rPr>
      </w:pPr>
      <w:r>
        <w:rPr/>
        <w:drawing>
          <wp:anchor distT="0" distB="0" distL="0" distR="0" allowOverlap="1" layoutInCell="1" locked="0" behindDoc="0" simplePos="0" relativeHeight="3">
            <wp:simplePos x="0" y="0"/>
            <wp:positionH relativeFrom="page">
              <wp:posOffset>932060</wp:posOffset>
            </wp:positionH>
            <wp:positionV relativeFrom="paragraph">
              <wp:posOffset>207515</wp:posOffset>
            </wp:positionV>
            <wp:extent cx="4741863" cy="3181350"/>
            <wp:effectExtent l="0" t="0" r="0" b="0"/>
            <wp:wrapTopAndBottom/>
            <wp:docPr id="7" name="image9.jpeg"/>
            <wp:cNvGraphicFramePr>
              <a:graphicFrameLocks noChangeAspect="1"/>
            </wp:cNvGraphicFramePr>
            <a:graphic>
              <a:graphicData uri="http://schemas.openxmlformats.org/drawingml/2006/picture">
                <pic:pic>
                  <pic:nvPicPr>
                    <pic:cNvPr id="8" name="image9.jpeg"/>
                    <pic:cNvPicPr/>
                  </pic:nvPicPr>
                  <pic:blipFill>
                    <a:blip r:embed="rId16" cstate="print"/>
                    <a:stretch>
                      <a:fillRect/>
                    </a:stretch>
                  </pic:blipFill>
                  <pic:spPr>
                    <a:xfrm>
                      <a:off x="0" y="0"/>
                      <a:ext cx="4741863" cy="3181350"/>
                    </a:xfrm>
                    <a:prstGeom prst="rect">
                      <a:avLst/>
                    </a:prstGeom>
                  </pic:spPr>
                </pic:pic>
              </a:graphicData>
            </a:graphic>
          </wp:anchor>
        </w:drawing>
      </w:r>
    </w:p>
    <w:p>
      <w:pPr>
        <w:spacing w:after="0"/>
        <w:rPr>
          <w:rFonts w:ascii="Calibri Light"/>
          <w:sz w:val="23"/>
        </w:rPr>
        <w:sectPr>
          <w:pgSz w:w="12240" w:h="15840"/>
          <w:pgMar w:header="0" w:footer="901" w:top="1360" w:bottom="1100" w:left="460" w:right="20"/>
        </w:sect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Heading2"/>
        <w:spacing w:before="234"/>
        <w:ind w:right="1234"/>
        <w:jc w:val="center"/>
        <w:rPr>
          <w:b w:val="0"/>
        </w:rPr>
      </w:pPr>
      <w:bookmarkStart w:name="_TOC_250007" w:id="15"/>
      <w:bookmarkEnd w:id="15"/>
      <w:r>
        <w:rPr>
          <w:b w:val="0"/>
        </w:rPr>
        <w:t>Attachment 1 - Legal Description – In WORD</w:t>
      </w:r>
    </w:p>
    <w:p>
      <w:pPr>
        <w:spacing w:after="0"/>
        <w:jc w:val="center"/>
        <w:sectPr>
          <w:pgSz w:w="12240" w:h="15840"/>
          <w:pgMar w:header="0" w:footer="901" w:top="1500" w:bottom="1100" w:left="460" w:right="20"/>
        </w:sectPr>
      </w:pPr>
    </w:p>
    <w:p>
      <w:pPr>
        <w:pStyle w:val="Heading2"/>
        <w:spacing w:before="86"/>
        <w:ind w:right="1234"/>
        <w:jc w:val="center"/>
        <w:rPr>
          <w:b w:val="0"/>
        </w:rPr>
      </w:pPr>
      <w:bookmarkStart w:name="_TOC_250006" w:id="16"/>
      <w:bookmarkEnd w:id="16"/>
      <w:r>
        <w:rPr>
          <w:b w:val="0"/>
        </w:rPr>
        <w:t>Exhibit B - Location Map</w:t>
      </w:r>
    </w:p>
    <w:p>
      <w:pPr>
        <w:pStyle w:val="BodyText"/>
        <w:rPr>
          <w:rFonts w:ascii="Calibri Light"/>
          <w:b w:val="0"/>
          <w:sz w:val="32"/>
        </w:rPr>
      </w:pPr>
    </w:p>
    <w:p>
      <w:pPr>
        <w:pStyle w:val="BodyText"/>
        <w:spacing w:before="3"/>
        <w:rPr>
          <w:rFonts w:ascii="Calibri Light"/>
          <w:b w:val="0"/>
        </w:rPr>
      </w:pPr>
    </w:p>
    <w:p>
      <w:pPr>
        <w:spacing w:before="0"/>
        <w:ind w:left="815" w:right="1235" w:firstLine="0"/>
        <w:jc w:val="center"/>
        <w:rPr>
          <w:b/>
          <w:sz w:val="28"/>
        </w:rPr>
      </w:pPr>
      <w:r>
        <w:rPr>
          <w:b/>
          <w:sz w:val="28"/>
        </w:rPr>
        <w:t>City of Pompano Beach</w:t>
      </w:r>
    </w:p>
    <w:p>
      <w:pPr>
        <w:pStyle w:val="BodyText"/>
        <w:rPr>
          <w:b/>
          <w:sz w:val="17"/>
        </w:rPr>
      </w:pPr>
    </w:p>
    <w:p>
      <w:pPr>
        <w:pStyle w:val="BodyText"/>
        <w:spacing w:before="5"/>
        <w:rPr>
          <w:b/>
          <w:sz w:val="8"/>
        </w:rPr>
      </w:pPr>
    </w:p>
    <w:p>
      <w:pPr>
        <w:spacing w:before="0"/>
        <w:ind w:left="706" w:right="1637" w:firstLine="0"/>
        <w:jc w:val="center"/>
        <w:rPr>
          <w:sz w:val="8"/>
        </w:rPr>
      </w:pPr>
      <w:r>
        <w:rPr>
          <w:w w:val="105"/>
          <w:sz w:val="8"/>
        </w:rPr>
        <w:t>Location Map</w:t>
      </w:r>
    </w:p>
    <w:p>
      <w:pPr>
        <w:pStyle w:val="BodyText"/>
        <w:rPr>
          <w:sz w:val="20"/>
        </w:rPr>
      </w:pPr>
    </w:p>
    <w:p>
      <w:pPr>
        <w:pStyle w:val="BodyText"/>
        <w:spacing w:before="2"/>
        <w:rPr>
          <w:sz w:val="23"/>
        </w:rPr>
      </w:pPr>
    </w:p>
    <w:p>
      <w:pPr>
        <w:pStyle w:val="BodyText"/>
        <w:spacing w:before="5"/>
        <w:rPr>
          <w:sz w:val="8"/>
        </w:rPr>
      </w:pPr>
    </w:p>
    <w:p>
      <w:pPr>
        <w:spacing w:before="0"/>
        <w:ind w:left="6707" w:right="4621" w:hanging="10"/>
        <w:jc w:val="center"/>
        <w:rPr>
          <w:sz w:val="8"/>
        </w:rPr>
      </w:pPr>
      <w:r>
        <w:rPr/>
        <w:pict>
          <v:group style="position:absolute;margin-left:253.885696pt;margin-top:-26.32423pt;width:92.4pt;height:91.75pt;mso-position-horizontal-relative:page;mso-position-vertical-relative:paragraph;z-index:251663360" coordorigin="5078,-526" coordsize="1848,1835">
            <v:shape style="position:absolute;left:5077;top:-527;width:1848;height:1835" type="#_x0000_t75" stroked="false">
              <v:imagedata r:id="rId17" o:title=""/>
            </v:shape>
            <v:rect style="position:absolute;left:5818;top:254;width:27;height:53" filled="true" fillcolor="#fffc00" stroked="false">
              <v:fill opacity="32768f" type="solid"/>
            </v:rect>
            <v:shape style="position:absolute;left:5803;top:253;width:63;height:63" coordorigin="5803,253" coordsize="63,63" path="m5834,253l5822,256,5812,263,5806,273,5803,285,5806,297,5812,307,5822,314,5834,316,5847,314,5857,307,5863,297,5866,285,5863,273,5857,263,5847,256,5834,253xe" filled="true" fillcolor="#e71224" stroked="false">
              <v:path arrowok="t"/>
              <v:fill type="solid"/>
            </v:shape>
            <w10:wrap type="none"/>
          </v:group>
        </w:pict>
      </w:r>
      <w:r>
        <w:rPr/>
        <w:pict>
          <v:shape style="position:absolute;margin-left:353.083801pt;margin-top:3.271839pt;width:3.15pt;height:3.15pt;mso-position-horizontal-relative:page;mso-position-vertical-relative:paragraph;z-index:251664384" coordorigin="7062,65" coordsize="63,63" path="m7093,65l7081,68,7071,75,7064,85,7062,97,7064,109,7071,119,7081,126,7093,128,7105,126,7115,119,7122,109,7124,97,7122,85,7115,75,7105,68,7093,65xe" filled="true" fillcolor="#e71224" stroked="false">
            <v:path arrowok="t"/>
            <v:fill type="solid"/>
            <w10:wrap type="none"/>
          </v:shape>
        </w:pict>
      </w:r>
      <w:r>
        <w:rPr>
          <w:sz w:val="8"/>
        </w:rPr>
        <w:t>Amendment </w:t>
      </w:r>
      <w:r>
        <w:rPr>
          <w:w w:val="105"/>
          <w:sz w:val="8"/>
        </w:rPr>
        <w:t>Site </w:t>
      </w:r>
      <w:r>
        <w:rPr>
          <w:spacing w:val="-3"/>
          <w:w w:val="105"/>
          <w:sz w:val="8"/>
        </w:rPr>
        <w:t>Location</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pPr>
      <w:r>
        <w:rPr/>
        <w:drawing>
          <wp:anchor distT="0" distB="0" distL="0" distR="0" allowOverlap="1" layoutInCell="1" locked="0" behindDoc="0" simplePos="0" relativeHeight="4">
            <wp:simplePos x="0" y="0"/>
            <wp:positionH relativeFrom="page">
              <wp:posOffset>1450749</wp:posOffset>
            </wp:positionH>
            <wp:positionV relativeFrom="paragraph">
              <wp:posOffset>214867</wp:posOffset>
            </wp:positionV>
            <wp:extent cx="4848887" cy="3137535"/>
            <wp:effectExtent l="0" t="0" r="0" b="0"/>
            <wp:wrapTopAndBottom/>
            <wp:docPr id="9" name="image11.jpeg"/>
            <wp:cNvGraphicFramePr>
              <a:graphicFrameLocks noChangeAspect="1"/>
            </wp:cNvGraphicFramePr>
            <a:graphic>
              <a:graphicData uri="http://schemas.openxmlformats.org/drawingml/2006/picture">
                <pic:pic>
                  <pic:nvPicPr>
                    <pic:cNvPr id="10" name="image11.jpeg"/>
                    <pic:cNvPicPr/>
                  </pic:nvPicPr>
                  <pic:blipFill>
                    <a:blip r:embed="rId18" cstate="print"/>
                    <a:stretch>
                      <a:fillRect/>
                    </a:stretch>
                  </pic:blipFill>
                  <pic:spPr>
                    <a:xfrm>
                      <a:off x="0" y="0"/>
                      <a:ext cx="4848887" cy="3137535"/>
                    </a:xfrm>
                    <a:prstGeom prst="rect">
                      <a:avLst/>
                    </a:prstGeom>
                  </pic:spPr>
                </pic:pic>
              </a:graphicData>
            </a:graphic>
          </wp:anchor>
        </w:drawing>
      </w:r>
    </w:p>
    <w:p>
      <w:pPr>
        <w:spacing w:after="0"/>
        <w:sectPr>
          <w:pgSz w:w="12240" w:h="15840"/>
          <w:pgMar w:header="0" w:footer="901" w:top="1360" w:bottom="1100" w:left="460" w:right="20"/>
        </w:sectPr>
      </w:pPr>
    </w:p>
    <w:p>
      <w:pPr>
        <w:pStyle w:val="Heading2"/>
        <w:spacing w:before="86"/>
        <w:ind w:right="1235"/>
        <w:jc w:val="center"/>
        <w:rPr>
          <w:b w:val="0"/>
        </w:rPr>
      </w:pPr>
      <w:r>
        <w:rPr/>
        <w:drawing>
          <wp:anchor distT="0" distB="0" distL="0" distR="0" allowOverlap="1" layoutInCell="1" locked="0" behindDoc="0" simplePos="0" relativeHeight="251668480">
            <wp:simplePos x="0" y="0"/>
            <wp:positionH relativeFrom="page">
              <wp:posOffset>1538909</wp:posOffset>
            </wp:positionH>
            <wp:positionV relativeFrom="paragraph">
              <wp:posOffset>303243</wp:posOffset>
            </wp:positionV>
            <wp:extent cx="1406354" cy="3063342"/>
            <wp:effectExtent l="0" t="0" r="0" b="0"/>
            <wp:wrapNone/>
            <wp:docPr id="11" name="image12.jpeg"/>
            <wp:cNvGraphicFramePr>
              <a:graphicFrameLocks noChangeAspect="1"/>
            </wp:cNvGraphicFramePr>
            <a:graphic>
              <a:graphicData uri="http://schemas.openxmlformats.org/drawingml/2006/picture">
                <pic:pic>
                  <pic:nvPicPr>
                    <pic:cNvPr id="12" name="image12.jpeg"/>
                    <pic:cNvPicPr/>
                  </pic:nvPicPr>
                  <pic:blipFill>
                    <a:blip r:embed="rId19" cstate="print"/>
                    <a:stretch>
                      <a:fillRect/>
                    </a:stretch>
                  </pic:blipFill>
                  <pic:spPr>
                    <a:xfrm>
                      <a:off x="0" y="0"/>
                      <a:ext cx="1406354" cy="3063342"/>
                    </a:xfrm>
                    <a:prstGeom prst="rect">
                      <a:avLst/>
                    </a:prstGeom>
                  </pic:spPr>
                </pic:pic>
              </a:graphicData>
            </a:graphic>
          </wp:anchor>
        </w:drawing>
      </w:r>
      <w:bookmarkStart w:name="_TOC_250005" w:id="17"/>
      <w:bookmarkEnd w:id="17"/>
      <w:r>
        <w:rPr>
          <w:b w:val="0"/>
        </w:rPr>
        <w:t>Exhibit C – City Future Land Use – Application in Process</w:t>
      </w:r>
    </w:p>
    <w:p>
      <w:pPr>
        <w:spacing w:before="271"/>
        <w:ind w:left="4986" w:right="0" w:firstLine="0"/>
        <w:jc w:val="left"/>
        <w:rPr>
          <w:b/>
          <w:sz w:val="16"/>
        </w:rPr>
      </w:pPr>
      <w:r>
        <w:rPr>
          <w:b/>
          <w:w w:val="105"/>
          <w:sz w:val="16"/>
        </w:rPr>
        <w:t>Proposed City of Pompano Beach Future Land Use</w:t>
      </w:r>
    </w:p>
    <w:p>
      <w:pPr>
        <w:pStyle w:val="BodyText"/>
        <w:rPr>
          <w:b/>
          <w:sz w:val="20"/>
        </w:rPr>
      </w:pPr>
    </w:p>
    <w:p>
      <w:pPr>
        <w:pStyle w:val="BodyText"/>
        <w:spacing w:before="8"/>
        <w:rPr>
          <w:b/>
          <w:sz w:val="13"/>
        </w:rPr>
      </w:pPr>
      <w:r>
        <w:rPr/>
        <w:pict>
          <v:group style="position:absolute;margin-left:250.977798pt;margin-top:10.333103pt;width:270.6pt;height:147.1pt;mso-position-horizontal-relative:page;mso-position-vertical-relative:paragraph;z-index:-251651072;mso-wrap-distance-left:0;mso-wrap-distance-right:0" coordorigin="5020,207" coordsize="5412,2942">
            <v:shape style="position:absolute;left:5019;top:206;width:5412;height:2942" type="#_x0000_t75" stroked="false">
              <v:imagedata r:id="rId20" o:title=""/>
            </v:shape>
            <v:shape style="position:absolute;left:7970;top:960;width:1285;height:600" type="#_x0000_t75" stroked="false">
              <v:imagedata r:id="rId21" o:title=""/>
            </v:shape>
            <w10:wrap type="topAndBottom"/>
          </v:group>
        </w:pict>
      </w:r>
    </w:p>
    <w:p>
      <w:pPr>
        <w:pStyle w:val="BodyText"/>
        <w:spacing w:before="6"/>
        <w:rPr>
          <w:b/>
        </w:rPr>
      </w:pPr>
    </w:p>
    <w:p>
      <w:pPr>
        <w:spacing w:before="0"/>
        <w:ind w:left="6984" w:right="0" w:firstLine="0"/>
        <w:jc w:val="left"/>
        <w:rPr>
          <w:b/>
          <w:sz w:val="16"/>
        </w:rPr>
      </w:pPr>
      <w:r>
        <w:rPr/>
        <w:drawing>
          <wp:anchor distT="0" distB="0" distL="0" distR="0" allowOverlap="1" layoutInCell="1" locked="0" behindDoc="0" simplePos="0" relativeHeight="251669504">
            <wp:simplePos x="0" y="0"/>
            <wp:positionH relativeFrom="page">
              <wp:posOffset>4533403</wp:posOffset>
            </wp:positionH>
            <wp:positionV relativeFrom="paragraph">
              <wp:posOffset>103016</wp:posOffset>
            </wp:positionV>
            <wp:extent cx="80128" cy="80128"/>
            <wp:effectExtent l="0" t="0" r="0" b="0"/>
            <wp:wrapNone/>
            <wp:docPr id="13" name="image15.png"/>
            <wp:cNvGraphicFramePr>
              <a:graphicFrameLocks noChangeAspect="1"/>
            </wp:cNvGraphicFramePr>
            <a:graphic>
              <a:graphicData uri="http://schemas.openxmlformats.org/drawingml/2006/picture">
                <pic:pic>
                  <pic:nvPicPr>
                    <pic:cNvPr id="14" name="image15.png"/>
                    <pic:cNvPicPr/>
                  </pic:nvPicPr>
                  <pic:blipFill>
                    <a:blip r:embed="rId22" cstate="print"/>
                    <a:stretch>
                      <a:fillRect/>
                    </a:stretch>
                  </pic:blipFill>
                  <pic:spPr>
                    <a:xfrm>
                      <a:off x="0" y="0"/>
                      <a:ext cx="80128" cy="80128"/>
                    </a:xfrm>
                    <a:prstGeom prst="rect">
                      <a:avLst/>
                    </a:prstGeom>
                  </pic:spPr>
                </pic:pic>
              </a:graphicData>
            </a:graphic>
          </wp:anchor>
        </w:drawing>
      </w:r>
      <w:r>
        <w:rPr>
          <w:b/>
          <w:w w:val="105"/>
          <w:sz w:val="16"/>
        </w:rPr>
        <w:t>Proposed Industrial Land Use</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11"/>
        <w:rPr>
          <w:b/>
          <w:sz w:val="28"/>
        </w:rPr>
      </w:pPr>
    </w:p>
    <w:p>
      <w:pPr>
        <w:pStyle w:val="Heading2"/>
        <w:spacing w:before="1"/>
        <w:ind w:right="1235"/>
        <w:jc w:val="center"/>
        <w:rPr>
          <w:b w:val="0"/>
        </w:rPr>
      </w:pPr>
      <w:bookmarkStart w:name="_TOC_250004" w:id="18"/>
      <w:bookmarkEnd w:id="18"/>
      <w:r>
        <w:rPr>
          <w:b w:val="0"/>
        </w:rPr>
        <w:t>Exhibit D –County Future Land Use – Application in Process</w:t>
      </w: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spacing w:before="2"/>
        <w:rPr>
          <w:rFonts w:ascii="Calibri Light"/>
          <w:b w:val="0"/>
          <w:sz w:val="28"/>
        </w:rPr>
      </w:pPr>
      <w:r>
        <w:rPr/>
        <w:pict>
          <v:group style="position:absolute;margin-left:85.393379pt;margin-top:19.174904pt;width:414.25pt;height:196.8pt;mso-position-horizontal-relative:page;mso-position-vertical-relative:paragraph;z-index:-251649024;mso-wrap-distance-left:0;mso-wrap-distance-right:0" coordorigin="1708,383" coordsize="8285,3936">
            <v:shape style="position:absolute;left:1707;top:383;width:3143;height:3936" type="#_x0000_t75" stroked="false">
              <v:imagedata r:id="rId23" o:title=""/>
            </v:shape>
            <v:shape style="position:absolute;left:4849;top:678;width:5143;height:2414" type="#_x0000_t75" stroked="false">
              <v:imagedata r:id="rId24" o:title=""/>
            </v:shape>
            <v:shape style="position:absolute;left:6763;top:3588;width:123;height:123" type="#_x0000_t75" stroked="false">
              <v:imagedata r:id="rId25" o:title=""/>
            </v:shape>
            <v:shape style="position:absolute;left:7465;top:1942;width:407;height:287" type="#_x0000_t75" stroked="false">
              <v:imagedata r:id="rId26" o:title=""/>
            </v:shape>
            <v:shape style="position:absolute;left:7000;top:3521;width:2035;height:198" type="#_x0000_t202" filled="false" stroked="false">
              <v:textbox inset="0,0,0,0">
                <w:txbxContent>
                  <w:p>
                    <w:pPr>
                      <w:spacing w:before="2"/>
                      <w:ind w:left="0" w:right="0" w:firstLine="0"/>
                      <w:jc w:val="left"/>
                      <w:rPr>
                        <w:sz w:val="16"/>
                      </w:rPr>
                    </w:pPr>
                    <w:r>
                      <w:rPr>
                        <w:sz w:val="16"/>
                      </w:rPr>
                      <w:t>Proposed Commerce Land Use</w:t>
                    </w:r>
                  </w:p>
                </w:txbxContent>
              </v:textbox>
              <w10:wrap type="none"/>
            </v:shape>
            <w10:wrap type="topAndBottom"/>
          </v:group>
        </w:pict>
      </w:r>
    </w:p>
    <w:p>
      <w:pPr>
        <w:spacing w:after="0"/>
        <w:rPr>
          <w:rFonts w:ascii="Calibri Light"/>
          <w:sz w:val="28"/>
        </w:rPr>
        <w:sectPr>
          <w:pgSz w:w="12240" w:h="15840"/>
          <w:pgMar w:header="0" w:footer="901" w:top="1360" w:bottom="1100" w:left="460" w:right="20"/>
        </w:sect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rPr>
          <w:rFonts w:ascii="Calibri Light"/>
          <w:b w:val="0"/>
          <w:sz w:val="20"/>
        </w:rPr>
      </w:pPr>
    </w:p>
    <w:p>
      <w:pPr>
        <w:pStyle w:val="BodyText"/>
        <w:spacing w:before="1"/>
        <w:rPr>
          <w:rFonts w:ascii="Calibri Light"/>
          <w:b w:val="0"/>
          <w:sz w:val="21"/>
        </w:rPr>
      </w:pPr>
    </w:p>
    <w:p>
      <w:pPr>
        <w:pStyle w:val="Heading2"/>
        <w:spacing w:before="100"/>
        <w:ind w:right="1233"/>
        <w:jc w:val="center"/>
        <w:rPr>
          <w:b w:val="0"/>
        </w:rPr>
      </w:pPr>
      <w:r>
        <w:rPr/>
        <w:drawing>
          <wp:anchor distT="0" distB="0" distL="0" distR="0" allowOverlap="1" layoutInCell="1" locked="0" behindDoc="0" simplePos="0" relativeHeight="251672576">
            <wp:simplePos x="0" y="0"/>
            <wp:positionH relativeFrom="page">
              <wp:posOffset>1352335</wp:posOffset>
            </wp:positionH>
            <wp:positionV relativeFrom="paragraph">
              <wp:posOffset>496994</wp:posOffset>
            </wp:positionV>
            <wp:extent cx="1330319" cy="3111030"/>
            <wp:effectExtent l="0" t="0" r="0" b="0"/>
            <wp:wrapNone/>
            <wp:docPr id="15" name="image20.png"/>
            <wp:cNvGraphicFramePr>
              <a:graphicFrameLocks noChangeAspect="1"/>
            </wp:cNvGraphicFramePr>
            <a:graphic>
              <a:graphicData uri="http://schemas.openxmlformats.org/drawingml/2006/picture">
                <pic:pic>
                  <pic:nvPicPr>
                    <pic:cNvPr id="16" name="image20.png"/>
                    <pic:cNvPicPr/>
                  </pic:nvPicPr>
                  <pic:blipFill>
                    <a:blip r:embed="rId27" cstate="print"/>
                    <a:stretch>
                      <a:fillRect/>
                    </a:stretch>
                  </pic:blipFill>
                  <pic:spPr>
                    <a:xfrm>
                      <a:off x="0" y="0"/>
                      <a:ext cx="1330319" cy="3111030"/>
                    </a:xfrm>
                    <a:prstGeom prst="rect">
                      <a:avLst/>
                    </a:prstGeom>
                  </pic:spPr>
                </pic:pic>
              </a:graphicData>
            </a:graphic>
          </wp:anchor>
        </w:drawing>
      </w:r>
      <w:bookmarkStart w:name="_TOC_250003" w:id="19"/>
      <w:bookmarkEnd w:id="19"/>
      <w:r>
        <w:rPr>
          <w:b w:val="0"/>
        </w:rPr>
        <w:t>Exhibit E- Existing Zoning</w:t>
      </w:r>
    </w:p>
    <w:p>
      <w:pPr>
        <w:pStyle w:val="BodyText"/>
        <w:rPr>
          <w:rFonts w:ascii="Calibri Light"/>
          <w:b w:val="0"/>
          <w:sz w:val="32"/>
        </w:rPr>
      </w:pPr>
    </w:p>
    <w:p>
      <w:pPr>
        <w:pStyle w:val="BodyText"/>
        <w:spacing w:before="4"/>
        <w:rPr>
          <w:rFonts w:ascii="Calibri Light"/>
          <w:b w:val="0"/>
          <w:sz w:val="45"/>
        </w:rPr>
      </w:pPr>
    </w:p>
    <w:p>
      <w:pPr>
        <w:spacing w:line="242" w:lineRule="auto" w:before="1"/>
        <w:ind w:left="6119" w:right="3109" w:hanging="673"/>
        <w:jc w:val="left"/>
        <w:rPr>
          <w:b/>
          <w:sz w:val="19"/>
        </w:rPr>
      </w:pPr>
      <w:r>
        <w:rPr>
          <w:b/>
          <w:w w:val="105"/>
          <w:sz w:val="19"/>
        </w:rPr>
        <w:t>Official City of Pompano Zoning Map – Updated April 2, 2020</w:t>
      </w:r>
    </w:p>
    <w:p>
      <w:pPr>
        <w:pStyle w:val="BodyText"/>
        <w:spacing w:before="6"/>
        <w:rPr>
          <w:b/>
          <w:sz w:val="20"/>
        </w:rPr>
      </w:pPr>
      <w:r>
        <w:rPr/>
        <w:pict>
          <v:group style="position:absolute;margin-left:235.894897pt;margin-top:14.472488pt;width:301.350pt;height:116.2pt;mso-position-horizontal-relative:page;mso-position-vertical-relative:paragraph;z-index:-251645952;mso-wrap-distance-left:0;mso-wrap-distance-right:0" coordorigin="4718,289" coordsize="6027,2324">
            <v:shape style="position:absolute;left:4717;top:289;width:6027;height:2324" type="#_x0000_t75" stroked="false">
              <v:imagedata r:id="rId28" o:title=""/>
            </v:shape>
            <v:shape style="position:absolute;left:6617;top:1021;width:133;height:133" coordorigin="6618,1021" coordsize="133,133" path="m6684,1021l6659,1027,6637,1041,6623,1062,6618,1088,6623,1114,6637,1135,6659,1149,6684,1154,6710,1149,6731,1135,6746,1114,6751,1088,6746,1062,6731,1041,6710,1027,6684,1021xe" filled="true" fillcolor="#000000" stroked="false">
              <v:path arrowok="t"/>
              <v:fill type="solid"/>
            </v:shape>
            <v:shape style="position:absolute;left:6629;top:1183;width:133;height:133" coordorigin="6629,1183" coordsize="133,133" path="m6696,1183l6670,1188,6649,1203,6635,1224,6629,1250,6635,1275,6649,1297,6670,1311,6696,1316,6722,1311,6743,1297,6757,1275,6762,1250,6757,1224,6743,1203,6722,1188,6696,1183xe" filled="true" fillcolor="#000000" stroked="false">
              <v:path arrowok="t"/>
              <v:fill type="solid"/>
            </v:shape>
            <v:shape style="position:absolute;left:6651;top:1379;width:133;height:133" type="#_x0000_t75" stroked="false">
              <v:imagedata r:id="rId29" o:title=""/>
            </v:shape>
            <v:shape style="position:absolute;left:7123;top:1414;width:133;height:133" type="#_x0000_t75" stroked="false">
              <v:imagedata r:id="rId30" o:title=""/>
            </v:shape>
            <v:shape style="position:absolute;left:6875;top:1423;width:133;height:133" type="#_x0000_t75" stroked="false">
              <v:imagedata r:id="rId31" o:title=""/>
            </v:shape>
            <v:shape style="position:absolute;left:7346;top:1410;width:133;height:133" type="#_x0000_t75" stroked="false">
              <v:imagedata r:id="rId29" o:title=""/>
            </v:shape>
            <v:shape style="position:absolute;left:7395;top:1190;width:133;height:133" type="#_x0000_t75" stroked="false">
              <v:imagedata r:id="rId30" o:title=""/>
            </v:shape>
            <v:shape style="position:absolute;left:7394;top:1012;width:133;height:133" type="#_x0000_t75" stroked="false">
              <v:imagedata r:id="rId29" o:title=""/>
            </v:shape>
            <v:shape style="position:absolute;left:7219;top:958;width:133;height:133" type="#_x0000_t75" stroked="false">
              <v:imagedata r:id="rId31" o:title=""/>
            </v:shape>
            <v:shape style="position:absolute;left:7052;top:958;width:133;height:133" coordorigin="7053,958" coordsize="133,133" path="m7119,958l7094,964,7072,978,7058,999,7053,1025,7058,1051,7072,1072,7094,1086,7119,1091,7145,1086,7166,1072,7181,1051,7186,1025,7181,999,7166,978,7145,964,7119,958xe" filled="true" fillcolor="#000000" stroked="false">
              <v:path arrowok="t"/>
              <v:fill type="solid"/>
            </v:shape>
            <v:shape style="position:absolute;left:6893;top:961;width:133;height:133" coordorigin="6893,962" coordsize="133,133" path="m6960,962l6934,967,6913,981,6899,1002,6893,1028,6899,1054,6913,1075,6934,1089,6960,1095,6986,1089,7007,1075,7021,1054,7026,1028,7021,1002,7007,981,6986,967,6960,962xe" filled="true" fillcolor="#000000" stroked="false">
              <v:path arrowok="t"/>
              <v:fill type="solid"/>
            </v:shape>
            <v:shape style="position:absolute;left:6733;top:988;width:133;height:133" coordorigin="6734,989" coordsize="133,133" path="m6800,989l6774,994,6753,1008,6739,1029,6734,1055,6739,1081,6753,1102,6774,1117,6800,1122,6826,1117,6847,1102,6862,1081,6867,1055,6862,1029,6847,1008,6826,994,6800,989xe" filled="true" fillcolor="#000000" stroked="false">
              <v:path arrowok="t"/>
              <v:fill type="solid"/>
            </v:shape>
            <w10:wrap type="topAndBottom"/>
          </v:group>
        </w:pict>
      </w:r>
    </w:p>
    <w:p>
      <w:pPr>
        <w:pStyle w:val="BodyText"/>
        <w:rPr>
          <w:b/>
        </w:rPr>
      </w:pPr>
    </w:p>
    <w:p>
      <w:pPr>
        <w:pStyle w:val="BodyText"/>
        <w:spacing w:before="3"/>
        <w:rPr>
          <w:b/>
          <w:sz w:val="33"/>
        </w:rPr>
      </w:pPr>
    </w:p>
    <w:p>
      <w:pPr>
        <w:spacing w:before="0"/>
        <w:ind w:left="7054" w:right="0" w:firstLine="0"/>
        <w:jc w:val="left"/>
        <w:rPr>
          <w:b/>
          <w:sz w:val="17"/>
        </w:rPr>
      </w:pPr>
      <w:r>
        <w:rPr/>
        <w:drawing>
          <wp:anchor distT="0" distB="0" distL="0" distR="0" allowOverlap="1" layoutInCell="1" locked="0" behindDoc="0" simplePos="0" relativeHeight="251671552">
            <wp:simplePos x="0" y="0"/>
            <wp:positionH relativeFrom="page">
              <wp:posOffset>4582702</wp:posOffset>
            </wp:positionH>
            <wp:positionV relativeFrom="paragraph">
              <wp:posOffset>68160</wp:posOffset>
            </wp:positionV>
            <wp:extent cx="84458" cy="84458"/>
            <wp:effectExtent l="0" t="0" r="0" b="0"/>
            <wp:wrapNone/>
            <wp:docPr id="17" name="image23.png"/>
            <wp:cNvGraphicFramePr>
              <a:graphicFrameLocks noChangeAspect="1"/>
            </wp:cNvGraphicFramePr>
            <a:graphic>
              <a:graphicData uri="http://schemas.openxmlformats.org/drawingml/2006/picture">
                <pic:pic>
                  <pic:nvPicPr>
                    <pic:cNvPr id="18" name="image23.png"/>
                    <pic:cNvPicPr/>
                  </pic:nvPicPr>
                  <pic:blipFill>
                    <a:blip r:embed="rId30" cstate="print"/>
                    <a:stretch>
                      <a:fillRect/>
                    </a:stretch>
                  </pic:blipFill>
                  <pic:spPr>
                    <a:xfrm>
                      <a:off x="0" y="0"/>
                      <a:ext cx="84458" cy="84458"/>
                    </a:xfrm>
                    <a:prstGeom prst="rect">
                      <a:avLst/>
                    </a:prstGeom>
                  </pic:spPr>
                </pic:pic>
              </a:graphicData>
            </a:graphic>
          </wp:anchor>
        </w:drawing>
      </w:r>
      <w:r>
        <w:rPr>
          <w:b/>
          <w:w w:val="105"/>
          <w:sz w:val="17"/>
        </w:rPr>
        <w:t>Existing PU Zoning</w:t>
      </w:r>
    </w:p>
    <w:p>
      <w:pPr>
        <w:spacing w:after="0"/>
        <w:jc w:val="left"/>
        <w:rPr>
          <w:sz w:val="17"/>
        </w:rPr>
        <w:sectPr>
          <w:pgSz w:w="12240" w:h="15840"/>
          <w:pgMar w:header="0" w:footer="901" w:top="1500" w:bottom="1100" w:left="460" w:right="20"/>
        </w:sectPr>
      </w:pPr>
    </w:p>
    <w:p>
      <w:pPr>
        <w:pStyle w:val="Heading2"/>
        <w:spacing w:before="86"/>
        <w:ind w:right="1233"/>
        <w:jc w:val="center"/>
        <w:rPr>
          <w:b w:val="0"/>
        </w:rPr>
      </w:pPr>
      <w:r>
        <w:rPr/>
        <w:drawing>
          <wp:anchor distT="0" distB="0" distL="0" distR="0" allowOverlap="1" layoutInCell="1" locked="0" behindDoc="0" simplePos="0" relativeHeight="251674624">
            <wp:simplePos x="0" y="0"/>
            <wp:positionH relativeFrom="page">
              <wp:posOffset>1352335</wp:posOffset>
            </wp:positionH>
            <wp:positionV relativeFrom="paragraph">
              <wp:posOffset>269583</wp:posOffset>
            </wp:positionV>
            <wp:extent cx="1330319" cy="3111030"/>
            <wp:effectExtent l="0" t="0" r="0" b="0"/>
            <wp:wrapNone/>
            <wp:docPr id="19" name="image20.png"/>
            <wp:cNvGraphicFramePr>
              <a:graphicFrameLocks noChangeAspect="1"/>
            </wp:cNvGraphicFramePr>
            <a:graphic>
              <a:graphicData uri="http://schemas.openxmlformats.org/drawingml/2006/picture">
                <pic:pic>
                  <pic:nvPicPr>
                    <pic:cNvPr id="20" name="image20.png"/>
                    <pic:cNvPicPr/>
                  </pic:nvPicPr>
                  <pic:blipFill>
                    <a:blip r:embed="rId27" cstate="print"/>
                    <a:stretch>
                      <a:fillRect/>
                    </a:stretch>
                  </pic:blipFill>
                  <pic:spPr>
                    <a:xfrm>
                      <a:off x="0" y="0"/>
                      <a:ext cx="1330319" cy="3111030"/>
                    </a:xfrm>
                    <a:prstGeom prst="rect">
                      <a:avLst/>
                    </a:prstGeom>
                  </pic:spPr>
                </pic:pic>
              </a:graphicData>
            </a:graphic>
          </wp:anchor>
        </w:drawing>
      </w:r>
      <w:bookmarkStart w:name="_TOC_250002" w:id="20"/>
      <w:bookmarkEnd w:id="20"/>
      <w:r>
        <w:rPr>
          <w:b w:val="0"/>
        </w:rPr>
        <w:t>Exhibit F – Proposed Zoning</w:t>
      </w:r>
    </w:p>
    <w:p>
      <w:pPr>
        <w:pStyle w:val="BodyText"/>
        <w:rPr>
          <w:rFonts w:ascii="Calibri Light"/>
          <w:b w:val="0"/>
          <w:sz w:val="32"/>
        </w:rPr>
      </w:pPr>
    </w:p>
    <w:p>
      <w:pPr>
        <w:spacing w:line="242" w:lineRule="auto" w:before="210"/>
        <w:ind w:left="6115" w:right="3108" w:hanging="668"/>
        <w:jc w:val="left"/>
        <w:rPr>
          <w:b/>
          <w:sz w:val="19"/>
        </w:rPr>
      </w:pPr>
      <w:r>
        <w:rPr>
          <w:b/>
          <w:w w:val="105"/>
          <w:sz w:val="19"/>
        </w:rPr>
        <w:t>Official City of Pompano Zoning Map – Proposed Zoning Map</w:t>
      </w:r>
    </w:p>
    <w:p>
      <w:pPr>
        <w:pStyle w:val="BodyText"/>
        <w:spacing w:before="7"/>
        <w:rPr>
          <w:b/>
          <w:sz w:val="20"/>
        </w:rPr>
      </w:pPr>
      <w:r>
        <w:rPr/>
        <w:pict>
          <v:group style="position:absolute;margin-left:235.894897pt;margin-top:14.517516pt;width:301.350pt;height:116.2pt;mso-position-horizontal-relative:page;mso-position-vertical-relative:paragraph;z-index:-251642880;mso-wrap-distance-left:0;mso-wrap-distance-right:0" coordorigin="4718,290" coordsize="6027,2324">
            <v:shape style="position:absolute;left:4717;top:290;width:6027;height:2324" type="#_x0000_t75" stroked="false">
              <v:imagedata r:id="rId28" o:title=""/>
            </v:shape>
            <v:shape style="position:absolute;left:6617;top:1022;width:133;height:133" coordorigin="6618,1022" coordsize="133,133" path="m6684,1022l6659,1028,6637,1042,6623,1063,6618,1089,6623,1115,6637,1136,6659,1150,6684,1155,6710,1150,6731,1136,6746,1115,6751,1089,6746,1063,6731,1042,6710,1028,6684,1022xe" filled="true" fillcolor="#000000" stroked="false">
              <v:path arrowok="t"/>
              <v:fill type="solid"/>
            </v:shape>
            <v:shape style="position:absolute;left:6629;top:1183;width:133;height:133" coordorigin="6629,1184" coordsize="133,133" path="m6696,1184l6670,1189,6649,1203,6635,1225,6629,1250,6635,1276,6649,1298,6670,1312,6696,1317,6722,1312,6743,1298,6757,1276,6762,1250,6757,1225,6743,1203,6722,1189,6696,1184xe" filled="true" fillcolor="#000000" stroked="false">
              <v:path arrowok="t"/>
              <v:fill type="solid"/>
            </v:shape>
            <v:shape style="position:absolute;left:6651;top:1379;width:133;height:133" coordorigin="6652,1380" coordsize="133,133" path="m6718,1380l6693,1385,6671,1399,6657,1421,6652,1446,6657,1472,6671,1493,6693,1508,6718,1513,6744,1508,6765,1493,6780,1472,6785,1446,6780,1421,6765,1399,6744,1385,6718,1380xe" filled="true" fillcolor="#000000" stroked="false">
              <v:path arrowok="t"/>
              <v:fill type="solid"/>
            </v:shape>
            <v:shape style="position:absolute;left:6875;top:1424;width:133;height:133" type="#_x0000_t75" stroked="false">
              <v:imagedata r:id="rId22" o:title=""/>
            </v:shape>
            <v:shape style="position:absolute;left:7123;top:1415;width:133;height:133" type="#_x0000_t75" stroked="false">
              <v:imagedata r:id="rId30" o:title=""/>
            </v:shape>
            <v:shape style="position:absolute;left:7346;top:1411;width:133;height:133" coordorigin="7346,1412" coordsize="133,133" path="m7413,1412l7387,1417,7366,1431,7351,1452,7346,1478,7351,1504,7366,1525,7387,1539,7413,1545,7439,1539,7460,1525,7474,1504,7479,1478,7474,1452,7460,1431,7439,1417,7413,1412xe" filled="true" fillcolor="#000000" stroked="false">
              <v:path arrowok="t"/>
              <v:fill type="solid"/>
            </v:shape>
            <v:shape style="position:absolute;left:7395;top:1191;width:133;height:133" coordorigin="7395,1191" coordsize="133,133" path="m7462,1191l7436,1197,7415,1211,7401,1232,7395,1258,7401,1284,7415,1305,7436,1319,7462,1324,7488,1319,7509,1305,7523,1284,7528,1258,7523,1232,7509,1211,7488,1197,7462,1191xe" filled="true" fillcolor="#000000" stroked="false">
              <v:path arrowok="t"/>
              <v:fill type="solid"/>
            </v:shape>
            <v:shape style="position:absolute;left:7394;top:1013;width:133;height:133" coordorigin="7395,1014" coordsize="133,133" path="m7461,1014l7435,1019,7414,1033,7400,1054,7395,1080,7400,1106,7414,1127,7435,1142,7461,1147,7487,1142,7508,1127,7522,1106,7528,1080,7522,1054,7508,1033,7487,1019,7461,1014xe" filled="true" fillcolor="#000000" stroked="false">
              <v:path arrowok="t"/>
              <v:fill type="solid"/>
            </v:shape>
            <v:shape style="position:absolute;left:7219;top:959;width:133;height:133" coordorigin="7219,959" coordsize="133,133" path="m7286,959l7260,965,7239,979,7224,1000,7219,1026,7224,1052,7239,1073,7260,1087,7286,1092,7311,1087,7333,1073,7347,1052,7352,1026,7347,1000,7333,979,7311,965,7286,959xe" filled="true" fillcolor="#000000" stroked="false">
              <v:path arrowok="t"/>
              <v:fill type="solid"/>
            </v:shape>
            <v:shape style="position:absolute;left:7052;top:959;width:133;height:133" coordorigin="7053,959" coordsize="133,133" path="m7119,959l7094,965,7072,979,7058,1000,7053,1026,7058,1052,7072,1073,7094,1087,7119,1092,7145,1087,7166,1073,7181,1052,7186,1026,7181,1000,7166,979,7145,965,7119,959xe" filled="true" fillcolor="#000000" stroked="false">
              <v:path arrowok="t"/>
              <v:fill type="solid"/>
            </v:shape>
            <v:shape style="position:absolute;left:6893;top:962;width:133;height:133" coordorigin="6893,963" coordsize="133,133" path="m6960,963l6934,968,6913,982,6899,1003,6893,1029,6899,1055,6913,1076,6934,1090,6960,1096,6986,1090,7007,1076,7021,1055,7026,1029,7021,1003,7007,982,6986,968,6960,963xe" filled="true" fillcolor="#000000" stroked="false">
              <v:path arrowok="t"/>
              <v:fill type="solid"/>
            </v:shape>
            <v:shape style="position:absolute;left:6733;top:989;width:133;height:133" coordorigin="6734,990" coordsize="133,133" path="m6800,990l6774,995,6753,1009,6739,1030,6734,1056,6739,1082,6753,1103,6774,1117,6800,1123,6826,1117,6847,1103,6862,1082,6867,1056,6862,1030,6847,1009,6826,995,6800,990xe" filled="true" fillcolor="#000000" stroked="false">
              <v:path arrowok="t"/>
              <v:fill type="solid"/>
            </v:shape>
            <v:shape style="position:absolute;left:6612;top:944;width:931;height:615" type="#_x0000_t75" stroked="false">
              <v:imagedata r:id="rId32" o:title=""/>
            </v:shape>
            <w10:wrap type="topAndBottom"/>
          </v:group>
        </w:pict>
      </w:r>
    </w:p>
    <w:p>
      <w:pPr>
        <w:pStyle w:val="BodyText"/>
        <w:rPr>
          <w:b/>
        </w:rPr>
      </w:pPr>
    </w:p>
    <w:p>
      <w:pPr>
        <w:spacing w:line="235" w:lineRule="auto" w:before="192"/>
        <w:ind w:left="7022" w:right="2645" w:firstLine="0"/>
        <w:jc w:val="left"/>
        <w:rPr>
          <w:b/>
          <w:sz w:val="17"/>
        </w:rPr>
      </w:pPr>
      <w:r>
        <w:rPr/>
        <w:drawing>
          <wp:anchor distT="0" distB="0" distL="0" distR="0" allowOverlap="1" layoutInCell="1" locked="0" behindDoc="0" simplePos="0" relativeHeight="251675648">
            <wp:simplePos x="0" y="0"/>
            <wp:positionH relativeFrom="page">
              <wp:posOffset>4560764</wp:posOffset>
            </wp:positionH>
            <wp:positionV relativeFrom="paragraph">
              <wp:posOffset>157557</wp:posOffset>
            </wp:positionV>
            <wp:extent cx="84458" cy="84458"/>
            <wp:effectExtent l="0" t="0" r="0" b="0"/>
            <wp:wrapNone/>
            <wp:docPr id="21" name="image26.png"/>
            <wp:cNvGraphicFramePr>
              <a:graphicFrameLocks noChangeAspect="1"/>
            </wp:cNvGraphicFramePr>
            <a:graphic>
              <a:graphicData uri="http://schemas.openxmlformats.org/drawingml/2006/picture">
                <pic:pic>
                  <pic:nvPicPr>
                    <pic:cNvPr id="22" name="image26.png"/>
                    <pic:cNvPicPr/>
                  </pic:nvPicPr>
                  <pic:blipFill>
                    <a:blip r:embed="rId33" cstate="print"/>
                    <a:stretch>
                      <a:fillRect/>
                    </a:stretch>
                  </pic:blipFill>
                  <pic:spPr>
                    <a:xfrm>
                      <a:off x="0" y="0"/>
                      <a:ext cx="84458" cy="84458"/>
                    </a:xfrm>
                    <a:prstGeom prst="rect">
                      <a:avLst/>
                    </a:prstGeom>
                  </pic:spPr>
                </pic:pic>
              </a:graphicData>
            </a:graphic>
          </wp:anchor>
        </w:drawing>
      </w:r>
      <w:r>
        <w:rPr>
          <w:b/>
          <w:w w:val="105"/>
          <w:sz w:val="17"/>
        </w:rPr>
        <w:t>Proposed General Industrial I-1 Zoning</w:t>
      </w:r>
    </w:p>
    <w:p>
      <w:pPr>
        <w:spacing w:after="0" w:line="235" w:lineRule="auto"/>
        <w:jc w:val="left"/>
        <w:rPr>
          <w:sz w:val="17"/>
        </w:rPr>
        <w:sectPr>
          <w:pgSz w:w="12240" w:h="15840"/>
          <w:pgMar w:header="0" w:footer="901" w:top="1360" w:bottom="1100" w:left="460" w:right="20"/>
        </w:sectPr>
      </w:pPr>
    </w:p>
    <w:p>
      <w:pPr>
        <w:pStyle w:val="BodyText"/>
        <w:spacing w:before="1"/>
        <w:rPr>
          <w:b/>
          <w:sz w:val="15"/>
        </w:rPr>
      </w:pPr>
    </w:p>
    <w:p>
      <w:pPr>
        <w:pStyle w:val="Heading2"/>
        <w:spacing w:before="98"/>
        <w:ind w:right="1236"/>
        <w:jc w:val="center"/>
        <w:rPr>
          <w:b w:val="0"/>
        </w:rPr>
      </w:pPr>
      <w:bookmarkStart w:name="_TOC_250001" w:id="21"/>
      <w:r>
        <w:rPr>
          <w:b w:val="0"/>
          <w:sz w:val="28"/>
        </w:rPr>
        <w:t>Exhibit G – </w:t>
      </w:r>
      <w:bookmarkEnd w:id="21"/>
      <w:r>
        <w:rPr>
          <w:b w:val="0"/>
        </w:rPr>
        <w:t>Consistent with City of Pompano Beach Comprehensive Plan</w:t>
      </w:r>
    </w:p>
    <w:p>
      <w:pPr>
        <w:pStyle w:val="Heading4"/>
        <w:rPr>
          <w:i/>
        </w:rPr>
      </w:pPr>
      <w:r>
        <w:rPr>
          <w:i/>
        </w:rPr>
        <w:t>City of Pompano Beach Comprehensive Plan March 2, 2018</w:t>
      </w:r>
    </w:p>
    <w:p>
      <w:pPr>
        <w:spacing w:before="0"/>
        <w:ind w:left="1218" w:right="1637" w:firstLine="0"/>
        <w:jc w:val="center"/>
        <w:rPr>
          <w:i/>
          <w:sz w:val="24"/>
        </w:rPr>
      </w:pPr>
      <w:r>
        <w:rPr>
          <w:i/>
          <w:sz w:val="24"/>
        </w:rPr>
        <w:t>Land Use Element - Adopted January 2010 Consolidated Version with Amendments Through </w:t>
      </w:r>
      <w:r>
        <w:rPr>
          <w:i/>
          <w:sz w:val="24"/>
        </w:rPr>
        <w:t>ETOC G:\Planning\COMPREHENSIVE PLAN FOLDER\Adopted Comprehensive Plan Elements\Adopted FLUE with ETOC.doc</w:t>
      </w:r>
    </w:p>
    <w:p>
      <w:pPr>
        <w:pStyle w:val="Heading3"/>
        <w:spacing w:line="586" w:lineRule="exact" w:before="52"/>
        <w:ind w:right="4202"/>
      </w:pPr>
      <w:r>
        <w:rPr/>
        <w:t>II. FUTURE LAND USE ELEMENT GOALS, OBJECTIVES AND POLICIES Goal</w:t>
      </w:r>
    </w:p>
    <w:p>
      <w:pPr>
        <w:pStyle w:val="BodyText"/>
        <w:spacing w:line="240" w:lineRule="exact"/>
        <w:ind w:left="989"/>
        <w:jc w:val="both"/>
      </w:pPr>
      <w:r>
        <w:rPr/>
        <w:t>01.00.0 The attainment of a living environment which provides the maximum physical,</w:t>
      </w:r>
    </w:p>
    <w:p>
      <w:pPr>
        <w:pStyle w:val="BodyText"/>
        <w:ind w:left="1849" w:right="1407"/>
        <w:jc w:val="both"/>
      </w:pPr>
      <w:r>
        <w:rPr/>
        <w:t>economic</w:t>
      </w:r>
      <w:r>
        <w:rPr>
          <w:spacing w:val="-5"/>
        </w:rPr>
        <w:t> </w:t>
      </w:r>
      <w:r>
        <w:rPr/>
        <w:t>and</w:t>
      </w:r>
      <w:r>
        <w:rPr>
          <w:spacing w:val="-4"/>
        </w:rPr>
        <w:t> </w:t>
      </w:r>
      <w:r>
        <w:rPr/>
        <w:t>social</w:t>
      </w:r>
      <w:r>
        <w:rPr>
          <w:spacing w:val="-5"/>
        </w:rPr>
        <w:t> </w:t>
      </w:r>
      <w:r>
        <w:rPr/>
        <w:t>well</w:t>
      </w:r>
      <w:r>
        <w:rPr>
          <w:spacing w:val="-4"/>
        </w:rPr>
        <w:t> </w:t>
      </w:r>
      <w:r>
        <w:rPr/>
        <w:t>being</w:t>
      </w:r>
      <w:r>
        <w:rPr>
          <w:spacing w:val="-5"/>
        </w:rPr>
        <w:t> </w:t>
      </w:r>
      <w:r>
        <w:rPr/>
        <w:t>for</w:t>
      </w:r>
      <w:r>
        <w:rPr>
          <w:spacing w:val="-4"/>
        </w:rPr>
        <w:t> </w:t>
      </w:r>
      <w:r>
        <w:rPr/>
        <w:t>the</w:t>
      </w:r>
      <w:r>
        <w:rPr>
          <w:spacing w:val="-5"/>
        </w:rPr>
        <w:t> </w:t>
      </w:r>
      <w:r>
        <w:rPr/>
        <w:t>City</w:t>
      </w:r>
      <w:r>
        <w:rPr>
          <w:spacing w:val="-4"/>
        </w:rPr>
        <w:t> </w:t>
      </w:r>
      <w:r>
        <w:rPr/>
        <w:t>and</w:t>
      </w:r>
      <w:r>
        <w:rPr>
          <w:spacing w:val="-5"/>
        </w:rPr>
        <w:t> </w:t>
      </w:r>
      <w:r>
        <w:rPr/>
        <w:t>its</w:t>
      </w:r>
      <w:r>
        <w:rPr>
          <w:spacing w:val="-4"/>
        </w:rPr>
        <w:t> </w:t>
      </w:r>
      <w:r>
        <w:rPr/>
        <w:t>residents</w:t>
      </w:r>
      <w:r>
        <w:rPr>
          <w:spacing w:val="-5"/>
        </w:rPr>
        <w:t> </w:t>
      </w:r>
      <w:r>
        <w:rPr/>
        <w:t>through</w:t>
      </w:r>
      <w:r>
        <w:rPr>
          <w:spacing w:val="-4"/>
        </w:rPr>
        <w:t> </w:t>
      </w:r>
      <w:r>
        <w:rPr/>
        <w:t>the</w:t>
      </w:r>
      <w:r>
        <w:rPr>
          <w:spacing w:val="-5"/>
        </w:rPr>
        <w:t> </w:t>
      </w:r>
      <w:r>
        <w:rPr/>
        <w:t>thoughtful</w:t>
      </w:r>
      <w:r>
        <w:rPr>
          <w:spacing w:val="-4"/>
        </w:rPr>
        <w:t> </w:t>
      </w:r>
      <w:r>
        <w:rPr/>
        <w:t>and planned use and control of the natural and man-made environments that discourages urban sprawl, is energy efficient and reduces greenhouse gas</w:t>
      </w:r>
      <w:r>
        <w:rPr>
          <w:spacing w:val="-1"/>
        </w:rPr>
        <w:t> </w:t>
      </w:r>
      <w:r>
        <w:rPr/>
        <w:t>emissions.</w:t>
      </w:r>
    </w:p>
    <w:p>
      <w:pPr>
        <w:pStyle w:val="BodyText"/>
        <w:spacing w:before="4"/>
      </w:pPr>
    </w:p>
    <w:p>
      <w:pPr>
        <w:pStyle w:val="Heading3"/>
        <w:jc w:val="both"/>
      </w:pPr>
      <w:r>
        <w:rPr/>
        <w:t>Objective Inconsistent Land Uses</w:t>
      </w:r>
    </w:p>
    <w:p>
      <w:pPr>
        <w:pStyle w:val="BodyText"/>
        <w:ind w:left="989" w:right="1407"/>
        <w:jc w:val="both"/>
      </w:pPr>
      <w:r>
        <w:rPr/>
        <w:t>01.03.00 Annually review and periodically update adopted land development regulations and established</w:t>
      </w:r>
      <w:r>
        <w:rPr>
          <w:spacing w:val="-10"/>
        </w:rPr>
        <w:t> </w:t>
      </w:r>
      <w:r>
        <w:rPr/>
        <w:t>procedures</w:t>
      </w:r>
      <w:r>
        <w:rPr>
          <w:spacing w:val="-10"/>
        </w:rPr>
        <w:t> </w:t>
      </w:r>
      <w:r>
        <w:rPr/>
        <w:t>that</w:t>
      </w:r>
      <w:r>
        <w:rPr>
          <w:spacing w:val="-10"/>
        </w:rPr>
        <w:t> </w:t>
      </w:r>
      <w:r>
        <w:rPr/>
        <w:t>encourage</w:t>
      </w:r>
      <w:r>
        <w:rPr>
          <w:spacing w:val="-10"/>
        </w:rPr>
        <w:t> </w:t>
      </w:r>
      <w:r>
        <w:rPr/>
        <w:t>the</w:t>
      </w:r>
      <w:r>
        <w:rPr>
          <w:spacing w:val="-10"/>
        </w:rPr>
        <w:t> </w:t>
      </w:r>
      <w:r>
        <w:rPr/>
        <w:t>elimination</w:t>
      </w:r>
      <w:r>
        <w:rPr>
          <w:spacing w:val="-9"/>
        </w:rPr>
        <w:t> </w:t>
      </w:r>
      <w:r>
        <w:rPr/>
        <w:t>or</w:t>
      </w:r>
      <w:r>
        <w:rPr>
          <w:spacing w:val="-10"/>
        </w:rPr>
        <w:t> </w:t>
      </w:r>
      <w:r>
        <w:rPr/>
        <w:t>reduction</w:t>
      </w:r>
      <w:r>
        <w:rPr>
          <w:spacing w:val="-10"/>
        </w:rPr>
        <w:t> </w:t>
      </w:r>
      <w:r>
        <w:rPr/>
        <w:t>of</w:t>
      </w:r>
      <w:r>
        <w:rPr>
          <w:spacing w:val="-10"/>
        </w:rPr>
        <w:t> </w:t>
      </w:r>
      <w:r>
        <w:rPr/>
        <w:t>uses</w:t>
      </w:r>
      <w:r>
        <w:rPr>
          <w:spacing w:val="-10"/>
        </w:rPr>
        <w:t> </w:t>
      </w:r>
      <w:r>
        <w:rPr/>
        <w:t>inconsistent</w:t>
      </w:r>
      <w:r>
        <w:rPr>
          <w:spacing w:val="-9"/>
        </w:rPr>
        <w:t> </w:t>
      </w:r>
      <w:r>
        <w:rPr/>
        <w:t>with</w:t>
      </w:r>
      <w:r>
        <w:rPr>
          <w:spacing w:val="-10"/>
        </w:rPr>
        <w:t> </w:t>
      </w:r>
      <w:r>
        <w:rPr/>
        <w:t>the City's character and Future Land Use</w:t>
      </w:r>
      <w:r>
        <w:rPr>
          <w:spacing w:val="-1"/>
        </w:rPr>
        <w:t> </w:t>
      </w:r>
      <w:r>
        <w:rPr/>
        <w:t>Plan.</w:t>
      </w:r>
    </w:p>
    <w:p>
      <w:pPr>
        <w:pStyle w:val="BodyText"/>
        <w:spacing w:before="12"/>
        <w:rPr>
          <w:sz w:val="23"/>
        </w:rPr>
      </w:pPr>
    </w:p>
    <w:p>
      <w:pPr>
        <w:pStyle w:val="BodyText"/>
        <w:ind w:left="1709" w:right="1407"/>
        <w:jc w:val="both"/>
      </w:pPr>
      <w:r>
        <w:rPr/>
        <w:t>01.03.13 Future industrial land uses shall be located with access to major transportation facilities including highways, airports, railroads, and seaports.</w:t>
      </w:r>
    </w:p>
    <w:p>
      <w:pPr>
        <w:pStyle w:val="BodyText"/>
        <w:spacing w:before="11"/>
        <w:rPr>
          <w:sz w:val="23"/>
        </w:rPr>
      </w:pPr>
    </w:p>
    <w:p>
      <w:pPr>
        <w:pStyle w:val="Heading3"/>
        <w:jc w:val="both"/>
      </w:pPr>
      <w:r>
        <w:rPr/>
        <w:t>Objective Smart Growth Initiative</w:t>
      </w:r>
    </w:p>
    <w:p>
      <w:pPr>
        <w:pStyle w:val="ListParagraph"/>
        <w:numPr>
          <w:ilvl w:val="2"/>
          <w:numId w:val="9"/>
        </w:numPr>
        <w:tabs>
          <w:tab w:pos="1925" w:val="left" w:leader="none"/>
        </w:tabs>
        <w:spacing w:line="240" w:lineRule="auto" w:before="0" w:after="0"/>
        <w:ind w:left="989" w:right="1407" w:firstLine="0"/>
        <w:jc w:val="both"/>
        <w:rPr>
          <w:sz w:val="24"/>
        </w:rPr>
      </w:pPr>
      <w:r>
        <w:rPr>
          <w:sz w:val="24"/>
        </w:rPr>
        <w:t>The City will promote “Smart Growth” type initiatives providing for energy efficient development and land use patterns which also account for existing and future electrical power generation and transmission systems in an effort to discourage urban sprawl and reduce greenhouse gasses.</w:t>
      </w:r>
    </w:p>
    <w:p>
      <w:pPr>
        <w:pStyle w:val="BodyText"/>
        <w:spacing w:before="11"/>
        <w:rPr>
          <w:sz w:val="23"/>
        </w:rPr>
      </w:pPr>
    </w:p>
    <w:p>
      <w:pPr>
        <w:pStyle w:val="Heading3"/>
        <w:spacing w:before="1"/>
        <w:ind w:left="1709"/>
      </w:pPr>
      <w:r>
        <w:rPr/>
        <w:t>Policies</w:t>
      </w:r>
    </w:p>
    <w:p>
      <w:pPr>
        <w:pStyle w:val="ListParagraph"/>
        <w:numPr>
          <w:ilvl w:val="2"/>
          <w:numId w:val="9"/>
        </w:numPr>
        <w:tabs>
          <w:tab w:pos="2657" w:val="left" w:leader="none"/>
        </w:tabs>
        <w:spacing w:line="240" w:lineRule="auto" w:before="0" w:after="0"/>
        <w:ind w:left="1709" w:right="1407" w:firstLine="0"/>
        <w:jc w:val="both"/>
        <w:rPr>
          <w:sz w:val="24"/>
        </w:rPr>
      </w:pPr>
      <w:r>
        <w:rPr>
          <w:sz w:val="24"/>
        </w:rPr>
        <w:t>The City shall emphasize re-development and infill, which concentrates the growth and intensifies the land uses consistent with the availability of existing urban services and infrastructure in order to conserve natural and man-made</w:t>
      </w:r>
      <w:r>
        <w:rPr>
          <w:spacing w:val="-3"/>
          <w:sz w:val="24"/>
        </w:rPr>
        <w:t> </w:t>
      </w:r>
      <w:r>
        <w:rPr>
          <w:sz w:val="24"/>
        </w:rPr>
        <w:t>resources.</w:t>
      </w:r>
    </w:p>
    <w:p>
      <w:pPr>
        <w:pStyle w:val="BodyText"/>
        <w:spacing w:before="11"/>
        <w:rPr>
          <w:sz w:val="23"/>
        </w:rPr>
      </w:pPr>
    </w:p>
    <w:p>
      <w:pPr>
        <w:pStyle w:val="Heading3"/>
        <w:jc w:val="both"/>
      </w:pPr>
      <w:r>
        <w:rPr/>
        <w:t>LAND USE IMPLEMENTATION</w:t>
      </w:r>
    </w:p>
    <w:p>
      <w:pPr>
        <w:pStyle w:val="BodyText"/>
        <w:spacing w:before="12"/>
        <w:rPr>
          <w:b/>
          <w:sz w:val="23"/>
        </w:rPr>
      </w:pPr>
    </w:p>
    <w:p>
      <w:pPr>
        <w:pStyle w:val="Heading3"/>
      </w:pPr>
      <w:r>
        <w:rPr/>
        <w:t>Section 3. Zoning as to Permitted Uses and Densities</w:t>
      </w:r>
    </w:p>
    <w:p>
      <w:pPr>
        <w:pStyle w:val="BodyText"/>
        <w:spacing w:before="12"/>
        <w:rPr>
          <w:b/>
          <w:sz w:val="23"/>
        </w:rPr>
      </w:pPr>
    </w:p>
    <w:p>
      <w:pPr>
        <w:pStyle w:val="BodyText"/>
        <w:ind w:left="989" w:right="1407"/>
        <w:jc w:val="both"/>
      </w:pPr>
      <w:r>
        <w:rPr/>
        <w:t>3.01 City zoning as to permitted uses and densities must be in compliance with or be more restrictive than the requirements of the Land Use Plan. For purposes of this section "more restrictive" means zoning which permits less than all of the uses permitted by the Land Use Plan</w:t>
      </w:r>
    </w:p>
    <w:p>
      <w:pPr>
        <w:spacing w:after="0"/>
        <w:jc w:val="both"/>
        <w:sectPr>
          <w:pgSz w:w="12240" w:h="15840"/>
          <w:pgMar w:header="0" w:footer="901" w:top="1500" w:bottom="1100" w:left="460" w:right="20"/>
        </w:sectPr>
      </w:pPr>
    </w:p>
    <w:p>
      <w:pPr>
        <w:pStyle w:val="BodyText"/>
        <w:spacing w:before="71"/>
        <w:ind w:left="989" w:right="1408"/>
        <w:jc w:val="both"/>
      </w:pPr>
      <w:r>
        <w:rPr/>
        <w:t>on a parcel of land, or, for a parcel of land designated residential by the Land Use Plan Map, a lower residential density than permitted by the Land Use Plan.</w:t>
      </w:r>
    </w:p>
    <w:p>
      <w:pPr>
        <w:pStyle w:val="BodyText"/>
        <w:spacing w:before="12"/>
        <w:rPr>
          <w:sz w:val="23"/>
        </w:rPr>
      </w:pPr>
    </w:p>
    <w:p>
      <w:pPr>
        <w:pStyle w:val="BodyText"/>
        <w:ind w:left="989" w:right="1407"/>
        <w:jc w:val="both"/>
      </w:pPr>
      <w:r>
        <w:rPr/>
        <w:t>3 .02 City zoning as to permitted uses and densities shall be in compliance with the City's Land Use Plan if the following requirements are met:</w:t>
      </w:r>
    </w:p>
    <w:p>
      <w:pPr>
        <w:pStyle w:val="BodyText"/>
        <w:spacing w:before="11"/>
        <w:rPr>
          <w:sz w:val="23"/>
        </w:rPr>
      </w:pPr>
    </w:p>
    <w:p>
      <w:pPr>
        <w:pStyle w:val="BodyText"/>
        <w:ind w:left="989"/>
        <w:jc w:val="both"/>
      </w:pPr>
      <w:r>
        <w:rPr/>
        <w:t>F. Industrial</w:t>
      </w:r>
    </w:p>
    <w:p>
      <w:pPr>
        <w:pStyle w:val="BodyText"/>
        <w:ind w:left="989" w:right="1407"/>
        <w:jc w:val="both"/>
      </w:pPr>
      <w:r>
        <w:rPr/>
        <w:t>Each</w:t>
      </w:r>
      <w:r>
        <w:rPr>
          <w:spacing w:val="-8"/>
        </w:rPr>
        <w:t> </w:t>
      </w:r>
      <w:r>
        <w:rPr/>
        <w:t>parcel</w:t>
      </w:r>
      <w:r>
        <w:rPr>
          <w:spacing w:val="-8"/>
        </w:rPr>
        <w:t> </w:t>
      </w:r>
      <w:r>
        <w:rPr/>
        <w:t>of</w:t>
      </w:r>
      <w:r>
        <w:rPr>
          <w:spacing w:val="-7"/>
        </w:rPr>
        <w:t> </w:t>
      </w:r>
      <w:r>
        <w:rPr/>
        <w:t>land</w:t>
      </w:r>
      <w:r>
        <w:rPr>
          <w:spacing w:val="-8"/>
        </w:rPr>
        <w:t> </w:t>
      </w:r>
      <w:r>
        <w:rPr/>
        <w:t>within</w:t>
      </w:r>
      <w:r>
        <w:rPr>
          <w:spacing w:val="-7"/>
        </w:rPr>
        <w:t> </w:t>
      </w:r>
      <w:r>
        <w:rPr/>
        <w:t>an</w:t>
      </w:r>
      <w:r>
        <w:rPr>
          <w:spacing w:val="-8"/>
        </w:rPr>
        <w:t> </w:t>
      </w:r>
      <w:r>
        <w:rPr/>
        <w:t>area</w:t>
      </w:r>
      <w:r>
        <w:rPr>
          <w:spacing w:val="-7"/>
        </w:rPr>
        <w:t> </w:t>
      </w:r>
      <w:r>
        <w:rPr/>
        <w:t>designated</w:t>
      </w:r>
      <w:r>
        <w:rPr>
          <w:spacing w:val="-8"/>
        </w:rPr>
        <w:t> </w:t>
      </w:r>
      <w:r>
        <w:rPr/>
        <w:t>in</w:t>
      </w:r>
      <w:r>
        <w:rPr>
          <w:spacing w:val="-8"/>
        </w:rPr>
        <w:t> </w:t>
      </w:r>
      <w:r>
        <w:rPr/>
        <w:t>an</w:t>
      </w:r>
      <w:r>
        <w:rPr>
          <w:spacing w:val="-7"/>
        </w:rPr>
        <w:t> </w:t>
      </w:r>
      <w:r>
        <w:rPr/>
        <w:t>Industrial</w:t>
      </w:r>
      <w:r>
        <w:rPr>
          <w:spacing w:val="-8"/>
        </w:rPr>
        <w:t> </w:t>
      </w:r>
      <w:r>
        <w:rPr/>
        <w:t>land</w:t>
      </w:r>
      <w:r>
        <w:rPr>
          <w:spacing w:val="-7"/>
        </w:rPr>
        <w:t> </w:t>
      </w:r>
      <w:r>
        <w:rPr/>
        <w:t>use</w:t>
      </w:r>
      <w:r>
        <w:rPr>
          <w:spacing w:val="-8"/>
        </w:rPr>
        <w:t> </w:t>
      </w:r>
      <w:r>
        <w:rPr/>
        <w:t>category</w:t>
      </w:r>
      <w:r>
        <w:rPr>
          <w:spacing w:val="-7"/>
        </w:rPr>
        <w:t> </w:t>
      </w:r>
      <w:r>
        <w:rPr/>
        <w:t>by</w:t>
      </w:r>
      <w:r>
        <w:rPr>
          <w:spacing w:val="-8"/>
        </w:rPr>
        <w:t> </w:t>
      </w:r>
      <w:r>
        <w:rPr/>
        <w:t>the</w:t>
      </w:r>
      <w:r>
        <w:rPr>
          <w:spacing w:val="-8"/>
        </w:rPr>
        <w:t> </w:t>
      </w:r>
      <w:r>
        <w:rPr/>
        <w:t>City's</w:t>
      </w:r>
      <w:r>
        <w:rPr>
          <w:spacing w:val="-7"/>
        </w:rPr>
        <w:t> </w:t>
      </w:r>
      <w:r>
        <w:rPr/>
        <w:t>Land Use Plan Map must be zoned in an industrial zoning district which excludes electrical power plants but permits one or more of the following uses, but no other</w:t>
      </w:r>
      <w:r>
        <w:rPr>
          <w:spacing w:val="-3"/>
        </w:rPr>
        <w:t> </w:t>
      </w:r>
      <w:r>
        <w:rPr/>
        <w:t>uses:</w:t>
      </w:r>
    </w:p>
    <w:p>
      <w:pPr>
        <w:pStyle w:val="ListParagraph"/>
        <w:numPr>
          <w:ilvl w:val="0"/>
          <w:numId w:val="10"/>
        </w:numPr>
        <w:tabs>
          <w:tab w:pos="1946" w:val="left" w:leader="none"/>
        </w:tabs>
        <w:spacing w:line="292" w:lineRule="exact" w:before="0" w:after="0"/>
        <w:ind w:left="1945" w:right="0" w:hanging="237"/>
        <w:jc w:val="both"/>
        <w:rPr>
          <w:sz w:val="24"/>
        </w:rPr>
      </w:pPr>
      <w:r>
        <w:rPr>
          <w:sz w:val="24"/>
        </w:rPr>
        <w:t>Light and heavy industrial</w:t>
      </w:r>
      <w:r>
        <w:rPr>
          <w:spacing w:val="-1"/>
          <w:sz w:val="24"/>
        </w:rPr>
        <w:t> </w:t>
      </w:r>
      <w:r>
        <w:rPr>
          <w:sz w:val="24"/>
        </w:rPr>
        <w:t>uses.</w:t>
      </w:r>
    </w:p>
    <w:p>
      <w:pPr>
        <w:pStyle w:val="ListParagraph"/>
        <w:numPr>
          <w:ilvl w:val="0"/>
          <w:numId w:val="10"/>
        </w:numPr>
        <w:tabs>
          <w:tab w:pos="1965" w:val="left" w:leader="none"/>
        </w:tabs>
        <w:spacing w:line="240" w:lineRule="auto" w:before="0" w:after="0"/>
        <w:ind w:left="1709" w:right="1407" w:firstLine="0"/>
        <w:jc w:val="both"/>
        <w:rPr>
          <w:sz w:val="24"/>
        </w:rPr>
      </w:pPr>
      <w:r>
        <w:rPr>
          <w:sz w:val="24"/>
        </w:rPr>
        <w:t>Heavy commercial uses including new and used automobile, truck, motorcycle, boat and</w:t>
      </w:r>
      <w:r>
        <w:rPr>
          <w:spacing w:val="-12"/>
          <w:sz w:val="24"/>
        </w:rPr>
        <w:t> </w:t>
      </w:r>
      <w:r>
        <w:rPr>
          <w:sz w:val="24"/>
        </w:rPr>
        <w:t>trailer</w:t>
      </w:r>
      <w:r>
        <w:rPr>
          <w:spacing w:val="-11"/>
          <w:sz w:val="24"/>
        </w:rPr>
        <w:t> </w:t>
      </w:r>
      <w:r>
        <w:rPr>
          <w:sz w:val="24"/>
        </w:rPr>
        <w:t>display,</w:t>
      </w:r>
      <w:r>
        <w:rPr>
          <w:spacing w:val="-12"/>
          <w:sz w:val="24"/>
        </w:rPr>
        <w:t> </w:t>
      </w:r>
      <w:r>
        <w:rPr>
          <w:sz w:val="24"/>
        </w:rPr>
        <w:t>sales,</w:t>
      </w:r>
      <w:r>
        <w:rPr>
          <w:spacing w:val="-11"/>
          <w:sz w:val="24"/>
        </w:rPr>
        <w:t> </w:t>
      </w:r>
      <w:r>
        <w:rPr>
          <w:sz w:val="24"/>
        </w:rPr>
        <w:t>and</w:t>
      </w:r>
      <w:r>
        <w:rPr>
          <w:spacing w:val="-12"/>
          <w:sz w:val="24"/>
        </w:rPr>
        <w:t> </w:t>
      </w:r>
      <w:r>
        <w:rPr>
          <w:sz w:val="24"/>
        </w:rPr>
        <w:t>service;</w:t>
      </w:r>
      <w:r>
        <w:rPr>
          <w:spacing w:val="-11"/>
          <w:sz w:val="24"/>
        </w:rPr>
        <w:t> </w:t>
      </w:r>
      <w:r>
        <w:rPr>
          <w:sz w:val="24"/>
        </w:rPr>
        <w:t>newspaper,</w:t>
      </w:r>
      <w:r>
        <w:rPr>
          <w:spacing w:val="-12"/>
          <w:sz w:val="24"/>
        </w:rPr>
        <w:t> </w:t>
      </w:r>
      <w:r>
        <w:rPr>
          <w:sz w:val="24"/>
        </w:rPr>
        <w:t>magazine,</w:t>
      </w:r>
      <w:r>
        <w:rPr>
          <w:spacing w:val="-11"/>
          <w:sz w:val="24"/>
        </w:rPr>
        <w:t> </w:t>
      </w:r>
      <w:r>
        <w:rPr>
          <w:sz w:val="24"/>
        </w:rPr>
        <w:t>and</w:t>
      </w:r>
      <w:r>
        <w:rPr>
          <w:spacing w:val="-11"/>
          <w:sz w:val="24"/>
        </w:rPr>
        <w:t> </w:t>
      </w:r>
      <w:r>
        <w:rPr>
          <w:sz w:val="24"/>
        </w:rPr>
        <w:t>printing</w:t>
      </w:r>
      <w:r>
        <w:rPr>
          <w:spacing w:val="-12"/>
          <w:sz w:val="24"/>
        </w:rPr>
        <w:t> </w:t>
      </w:r>
      <w:r>
        <w:rPr>
          <w:sz w:val="24"/>
        </w:rPr>
        <w:t>plants;</w:t>
      </w:r>
      <w:r>
        <w:rPr>
          <w:spacing w:val="-11"/>
          <w:sz w:val="24"/>
        </w:rPr>
        <w:t> </w:t>
      </w:r>
      <w:r>
        <w:rPr>
          <w:sz w:val="24"/>
        </w:rPr>
        <w:t>bakeries, carpentry, cabinet shops and other trade shops; motion picture studios; ice houses; propane gas sales and repair; and salvage</w:t>
      </w:r>
      <w:r>
        <w:rPr>
          <w:spacing w:val="-1"/>
          <w:sz w:val="24"/>
        </w:rPr>
        <w:t> </w:t>
      </w:r>
      <w:r>
        <w:rPr>
          <w:sz w:val="24"/>
        </w:rPr>
        <w:t>yards.</w:t>
      </w:r>
    </w:p>
    <w:p>
      <w:pPr>
        <w:pStyle w:val="ListParagraph"/>
        <w:numPr>
          <w:ilvl w:val="0"/>
          <w:numId w:val="10"/>
        </w:numPr>
        <w:tabs>
          <w:tab w:pos="1998" w:val="left" w:leader="none"/>
        </w:tabs>
        <w:spacing w:line="240" w:lineRule="auto" w:before="4" w:after="0"/>
        <w:ind w:left="1709" w:right="1407" w:firstLine="0"/>
        <w:jc w:val="both"/>
        <w:rPr>
          <w:sz w:val="24"/>
        </w:rPr>
      </w:pPr>
      <w:r>
        <w:rPr>
          <w:sz w:val="24"/>
        </w:rPr>
        <w:t>Educational, scientific and industrial research facilities, research laboratories.</w:t>
      </w:r>
      <w:r>
        <w:rPr>
          <w:spacing w:val="24"/>
          <w:sz w:val="24"/>
        </w:rPr>
        <w:t> </w:t>
      </w:r>
      <w:r>
        <w:rPr>
          <w:sz w:val="24"/>
        </w:rPr>
        <w:t>and medical or dental</w:t>
      </w:r>
      <w:r>
        <w:rPr>
          <w:spacing w:val="-1"/>
          <w:sz w:val="24"/>
        </w:rPr>
        <w:t> </w:t>
      </w:r>
      <w:r>
        <w:rPr>
          <w:sz w:val="24"/>
        </w:rPr>
        <w:t>laboratories.</w:t>
      </w:r>
    </w:p>
    <w:p>
      <w:pPr>
        <w:pStyle w:val="ListParagraph"/>
        <w:numPr>
          <w:ilvl w:val="0"/>
          <w:numId w:val="10"/>
        </w:numPr>
        <w:tabs>
          <w:tab w:pos="1947" w:val="left" w:leader="none"/>
        </w:tabs>
        <w:spacing w:line="293" w:lineRule="exact" w:before="0" w:after="0"/>
        <w:ind w:left="1946" w:right="0" w:hanging="238"/>
        <w:jc w:val="both"/>
        <w:rPr>
          <w:sz w:val="24"/>
        </w:rPr>
      </w:pPr>
      <w:r>
        <w:rPr>
          <w:sz w:val="24"/>
        </w:rPr>
        <w:t>Office</w:t>
      </w:r>
      <w:r>
        <w:rPr>
          <w:spacing w:val="-2"/>
          <w:sz w:val="24"/>
        </w:rPr>
        <w:t> </w:t>
      </w:r>
      <w:r>
        <w:rPr>
          <w:sz w:val="24"/>
        </w:rPr>
        <w:t>uses.</w:t>
      </w:r>
    </w:p>
    <w:p>
      <w:pPr>
        <w:pStyle w:val="ListParagraph"/>
        <w:numPr>
          <w:ilvl w:val="0"/>
          <w:numId w:val="10"/>
        </w:numPr>
        <w:tabs>
          <w:tab w:pos="1946" w:val="left" w:leader="none"/>
        </w:tabs>
        <w:spacing w:line="240" w:lineRule="auto" w:before="0" w:after="0"/>
        <w:ind w:left="1945" w:right="0" w:hanging="237"/>
        <w:jc w:val="both"/>
        <w:rPr>
          <w:sz w:val="24"/>
        </w:rPr>
      </w:pPr>
      <w:r>
        <w:rPr>
          <w:sz w:val="24"/>
        </w:rPr>
        <w:t>Transportation and communication</w:t>
      </w:r>
      <w:r>
        <w:rPr>
          <w:spacing w:val="-1"/>
          <w:sz w:val="24"/>
        </w:rPr>
        <w:t> </w:t>
      </w:r>
      <w:r>
        <w:rPr>
          <w:sz w:val="24"/>
        </w:rPr>
        <w:t>facilities.</w:t>
      </w:r>
    </w:p>
    <w:p>
      <w:pPr>
        <w:pStyle w:val="ListParagraph"/>
        <w:numPr>
          <w:ilvl w:val="0"/>
          <w:numId w:val="10"/>
        </w:numPr>
        <w:tabs>
          <w:tab w:pos="1938" w:val="left" w:leader="none"/>
        </w:tabs>
        <w:spacing w:line="240" w:lineRule="auto" w:before="0" w:after="0"/>
        <w:ind w:left="1709" w:right="1407" w:firstLine="0"/>
        <w:jc w:val="both"/>
        <w:rPr>
          <w:sz w:val="24"/>
        </w:rPr>
      </w:pPr>
      <w:r>
        <w:rPr>
          <w:sz w:val="24"/>
        </w:rPr>
        <w:t>Recreation</w:t>
      </w:r>
      <w:r>
        <w:rPr>
          <w:spacing w:val="-10"/>
          <w:sz w:val="24"/>
        </w:rPr>
        <w:t> </w:t>
      </w:r>
      <w:r>
        <w:rPr>
          <w:sz w:val="24"/>
        </w:rPr>
        <w:t>and</w:t>
      </w:r>
      <w:r>
        <w:rPr>
          <w:spacing w:val="-10"/>
          <w:sz w:val="24"/>
        </w:rPr>
        <w:t> </w:t>
      </w:r>
      <w:r>
        <w:rPr>
          <w:sz w:val="24"/>
        </w:rPr>
        <w:t>open</w:t>
      </w:r>
      <w:r>
        <w:rPr>
          <w:spacing w:val="-9"/>
          <w:sz w:val="24"/>
        </w:rPr>
        <w:t> </w:t>
      </w:r>
      <w:r>
        <w:rPr>
          <w:sz w:val="24"/>
        </w:rPr>
        <w:t>space,</w:t>
      </w:r>
      <w:r>
        <w:rPr>
          <w:spacing w:val="-10"/>
          <w:sz w:val="24"/>
        </w:rPr>
        <w:t> </w:t>
      </w:r>
      <w:r>
        <w:rPr>
          <w:sz w:val="24"/>
        </w:rPr>
        <w:t>cemeteries,</w:t>
      </w:r>
      <w:r>
        <w:rPr>
          <w:spacing w:val="-10"/>
          <w:sz w:val="24"/>
        </w:rPr>
        <w:t> </w:t>
      </w:r>
      <w:r>
        <w:rPr>
          <w:sz w:val="24"/>
        </w:rPr>
        <w:t>and</w:t>
      </w:r>
      <w:r>
        <w:rPr>
          <w:spacing w:val="-9"/>
          <w:sz w:val="24"/>
        </w:rPr>
        <w:t> </w:t>
      </w:r>
      <w:r>
        <w:rPr>
          <w:sz w:val="24"/>
        </w:rPr>
        <w:t>commercial</w:t>
      </w:r>
      <w:r>
        <w:rPr>
          <w:spacing w:val="-10"/>
          <w:sz w:val="24"/>
        </w:rPr>
        <w:t> </w:t>
      </w:r>
      <w:r>
        <w:rPr>
          <w:sz w:val="24"/>
        </w:rPr>
        <w:t>recreation</w:t>
      </w:r>
      <w:r>
        <w:rPr>
          <w:spacing w:val="-10"/>
          <w:sz w:val="24"/>
        </w:rPr>
        <w:t> </w:t>
      </w:r>
      <w:r>
        <w:rPr>
          <w:sz w:val="24"/>
        </w:rPr>
        <w:t>uses,</w:t>
      </w:r>
      <w:r>
        <w:rPr>
          <w:spacing w:val="-9"/>
          <w:sz w:val="24"/>
        </w:rPr>
        <w:t> </w:t>
      </w:r>
      <w:r>
        <w:rPr>
          <w:sz w:val="24"/>
        </w:rPr>
        <w:t>as</w:t>
      </w:r>
      <w:r>
        <w:rPr>
          <w:spacing w:val="-10"/>
          <w:sz w:val="24"/>
        </w:rPr>
        <w:t> </w:t>
      </w:r>
      <w:r>
        <w:rPr>
          <w:sz w:val="24"/>
        </w:rPr>
        <w:t>long</w:t>
      </w:r>
      <w:r>
        <w:rPr>
          <w:spacing w:val="-10"/>
          <w:sz w:val="24"/>
        </w:rPr>
        <w:t> </w:t>
      </w:r>
      <w:r>
        <w:rPr>
          <w:sz w:val="24"/>
        </w:rPr>
        <w:t>as</w:t>
      </w:r>
      <w:r>
        <w:rPr>
          <w:spacing w:val="-9"/>
          <w:sz w:val="24"/>
        </w:rPr>
        <w:t> </w:t>
      </w:r>
      <w:r>
        <w:rPr>
          <w:sz w:val="24"/>
        </w:rPr>
        <w:t>the location</w:t>
      </w:r>
      <w:r>
        <w:rPr>
          <w:spacing w:val="-8"/>
          <w:sz w:val="24"/>
        </w:rPr>
        <w:t> </w:t>
      </w:r>
      <w:r>
        <w:rPr>
          <w:sz w:val="24"/>
        </w:rPr>
        <w:t>of</w:t>
      </w:r>
      <w:r>
        <w:rPr>
          <w:spacing w:val="-8"/>
          <w:sz w:val="24"/>
        </w:rPr>
        <w:t> </w:t>
      </w:r>
      <w:r>
        <w:rPr>
          <w:sz w:val="24"/>
        </w:rPr>
        <w:t>these</w:t>
      </w:r>
      <w:r>
        <w:rPr>
          <w:spacing w:val="-7"/>
          <w:sz w:val="24"/>
        </w:rPr>
        <w:t> </w:t>
      </w:r>
      <w:r>
        <w:rPr>
          <w:sz w:val="24"/>
        </w:rPr>
        <w:t>uses</w:t>
      </w:r>
      <w:r>
        <w:rPr>
          <w:spacing w:val="-8"/>
          <w:sz w:val="24"/>
        </w:rPr>
        <w:t> </w:t>
      </w:r>
      <w:r>
        <w:rPr>
          <w:sz w:val="24"/>
        </w:rPr>
        <w:t>does</w:t>
      </w:r>
      <w:r>
        <w:rPr>
          <w:spacing w:val="-7"/>
          <w:sz w:val="24"/>
        </w:rPr>
        <w:t> </w:t>
      </w:r>
      <w:r>
        <w:rPr>
          <w:sz w:val="24"/>
        </w:rPr>
        <w:t>not</w:t>
      </w:r>
      <w:r>
        <w:rPr>
          <w:spacing w:val="-8"/>
          <w:sz w:val="24"/>
        </w:rPr>
        <w:t> </w:t>
      </w:r>
      <w:r>
        <w:rPr>
          <w:sz w:val="24"/>
        </w:rPr>
        <w:t>preclude</w:t>
      </w:r>
      <w:r>
        <w:rPr>
          <w:spacing w:val="-7"/>
          <w:sz w:val="24"/>
        </w:rPr>
        <w:t> </w:t>
      </w:r>
      <w:r>
        <w:rPr>
          <w:sz w:val="24"/>
        </w:rPr>
        <w:t>or</w:t>
      </w:r>
      <w:r>
        <w:rPr>
          <w:spacing w:val="-8"/>
          <w:sz w:val="24"/>
        </w:rPr>
        <w:t> </w:t>
      </w:r>
      <w:r>
        <w:rPr>
          <w:sz w:val="24"/>
        </w:rPr>
        <w:t>adversely</w:t>
      </w:r>
      <w:r>
        <w:rPr>
          <w:spacing w:val="-8"/>
          <w:sz w:val="24"/>
        </w:rPr>
        <w:t> </w:t>
      </w:r>
      <w:r>
        <w:rPr>
          <w:sz w:val="24"/>
        </w:rPr>
        <w:t>affect</w:t>
      </w:r>
      <w:r>
        <w:rPr>
          <w:spacing w:val="-7"/>
          <w:sz w:val="24"/>
        </w:rPr>
        <w:t> </w:t>
      </w:r>
      <w:r>
        <w:rPr>
          <w:sz w:val="24"/>
        </w:rPr>
        <w:t>the</w:t>
      </w:r>
      <w:r>
        <w:rPr>
          <w:spacing w:val="-8"/>
          <w:sz w:val="24"/>
        </w:rPr>
        <w:t> </w:t>
      </w:r>
      <w:r>
        <w:rPr>
          <w:sz w:val="24"/>
        </w:rPr>
        <w:t>future</w:t>
      </w:r>
      <w:r>
        <w:rPr>
          <w:spacing w:val="-7"/>
          <w:sz w:val="24"/>
        </w:rPr>
        <w:t> </w:t>
      </w:r>
      <w:r>
        <w:rPr>
          <w:sz w:val="24"/>
        </w:rPr>
        <w:t>use</w:t>
      </w:r>
      <w:r>
        <w:rPr>
          <w:spacing w:val="-8"/>
          <w:sz w:val="24"/>
        </w:rPr>
        <w:t> </w:t>
      </w:r>
      <w:r>
        <w:rPr>
          <w:sz w:val="24"/>
        </w:rPr>
        <w:t>of</w:t>
      </w:r>
      <w:r>
        <w:rPr>
          <w:spacing w:val="-7"/>
          <w:sz w:val="24"/>
        </w:rPr>
        <w:t> </w:t>
      </w:r>
      <w:r>
        <w:rPr>
          <w:sz w:val="24"/>
        </w:rPr>
        <w:t>surrounding areas for</w:t>
      </w:r>
      <w:r>
        <w:rPr>
          <w:spacing w:val="-1"/>
          <w:sz w:val="24"/>
        </w:rPr>
        <w:t> </w:t>
      </w:r>
      <w:r>
        <w:rPr>
          <w:sz w:val="24"/>
        </w:rPr>
        <w:t>industry.</w:t>
      </w:r>
    </w:p>
    <w:p>
      <w:pPr>
        <w:pStyle w:val="ListParagraph"/>
        <w:numPr>
          <w:ilvl w:val="0"/>
          <w:numId w:val="10"/>
        </w:numPr>
        <w:tabs>
          <w:tab w:pos="1946" w:val="left" w:leader="none"/>
        </w:tabs>
        <w:spacing w:line="292" w:lineRule="exact" w:before="0" w:after="0"/>
        <w:ind w:left="1945" w:right="0" w:hanging="237"/>
        <w:jc w:val="both"/>
        <w:rPr>
          <w:sz w:val="24"/>
        </w:rPr>
      </w:pPr>
      <w:r>
        <w:rPr>
          <w:sz w:val="24"/>
        </w:rPr>
        <w:t>Community facilities and</w:t>
      </w:r>
      <w:r>
        <w:rPr>
          <w:spacing w:val="-2"/>
          <w:sz w:val="24"/>
        </w:rPr>
        <w:t> </w:t>
      </w:r>
      <w:r>
        <w:rPr>
          <w:sz w:val="24"/>
        </w:rPr>
        <w:t>utilities.</w:t>
      </w:r>
    </w:p>
    <w:p>
      <w:pPr>
        <w:pStyle w:val="ListParagraph"/>
        <w:numPr>
          <w:ilvl w:val="0"/>
          <w:numId w:val="10"/>
        </w:numPr>
        <w:tabs>
          <w:tab w:pos="1946" w:val="left" w:leader="none"/>
        </w:tabs>
        <w:spacing w:line="240" w:lineRule="auto" w:before="0" w:after="0"/>
        <w:ind w:left="1945" w:right="0" w:hanging="237"/>
        <w:jc w:val="both"/>
        <w:rPr>
          <w:sz w:val="24"/>
        </w:rPr>
      </w:pPr>
      <w:r>
        <w:rPr>
          <w:sz w:val="24"/>
        </w:rPr>
        <w:t>Ancillary commercial uses within buildings devoted to primary industrial</w:t>
      </w:r>
      <w:r>
        <w:rPr>
          <w:spacing w:val="-2"/>
          <w:sz w:val="24"/>
        </w:rPr>
        <w:t> </w:t>
      </w:r>
      <w:r>
        <w:rPr>
          <w:sz w:val="24"/>
        </w:rPr>
        <w:t>uses.</w:t>
      </w:r>
    </w:p>
    <w:p>
      <w:pPr>
        <w:pStyle w:val="ListParagraph"/>
        <w:numPr>
          <w:ilvl w:val="0"/>
          <w:numId w:val="10"/>
        </w:numPr>
        <w:tabs>
          <w:tab w:pos="1946" w:val="left" w:leader="none"/>
        </w:tabs>
        <w:spacing w:line="240" w:lineRule="auto" w:before="0" w:after="0"/>
        <w:ind w:left="1945" w:right="0" w:hanging="237"/>
        <w:jc w:val="both"/>
        <w:rPr>
          <w:sz w:val="24"/>
        </w:rPr>
      </w:pPr>
      <w:r>
        <w:rPr>
          <w:sz w:val="24"/>
        </w:rPr>
        <w:t>Wholesaling</w:t>
      </w:r>
      <w:r>
        <w:rPr>
          <w:spacing w:val="-1"/>
          <w:sz w:val="24"/>
        </w:rPr>
        <w:t> </w:t>
      </w:r>
      <w:r>
        <w:rPr>
          <w:sz w:val="24"/>
        </w:rPr>
        <w:t>uses.</w:t>
      </w:r>
    </w:p>
    <w:p>
      <w:pPr>
        <w:pStyle w:val="ListParagraph"/>
        <w:numPr>
          <w:ilvl w:val="0"/>
          <w:numId w:val="10"/>
        </w:numPr>
        <w:tabs>
          <w:tab w:pos="2066" w:val="left" w:leader="none"/>
        </w:tabs>
        <w:spacing w:line="240" w:lineRule="auto" w:before="0" w:after="0"/>
        <w:ind w:left="1709" w:right="1407" w:firstLine="0"/>
        <w:jc w:val="both"/>
        <w:rPr>
          <w:sz w:val="24"/>
        </w:rPr>
      </w:pPr>
      <w:r>
        <w:rPr>
          <w:sz w:val="24"/>
        </w:rPr>
        <w:t>The</w:t>
      </w:r>
      <w:r>
        <w:rPr>
          <w:spacing w:val="-4"/>
          <w:sz w:val="24"/>
        </w:rPr>
        <w:t> </w:t>
      </w:r>
      <w:r>
        <w:rPr>
          <w:sz w:val="24"/>
        </w:rPr>
        <w:t>following</w:t>
      </w:r>
      <w:r>
        <w:rPr>
          <w:spacing w:val="-4"/>
          <w:sz w:val="24"/>
        </w:rPr>
        <w:t> </w:t>
      </w:r>
      <w:r>
        <w:rPr>
          <w:sz w:val="24"/>
        </w:rPr>
        <w:t>uses</w:t>
      </w:r>
      <w:r>
        <w:rPr>
          <w:spacing w:val="-3"/>
          <w:sz w:val="24"/>
        </w:rPr>
        <w:t> </w:t>
      </w:r>
      <w:r>
        <w:rPr>
          <w:sz w:val="24"/>
        </w:rPr>
        <w:t>may</w:t>
      </w:r>
      <w:r>
        <w:rPr>
          <w:spacing w:val="-4"/>
          <w:sz w:val="24"/>
        </w:rPr>
        <w:t> </w:t>
      </w:r>
      <w:r>
        <w:rPr>
          <w:sz w:val="24"/>
        </w:rPr>
        <w:t>also</w:t>
      </w:r>
      <w:r>
        <w:rPr>
          <w:spacing w:val="-4"/>
          <w:sz w:val="24"/>
        </w:rPr>
        <w:t> </w:t>
      </w:r>
      <w:r>
        <w:rPr>
          <w:sz w:val="24"/>
        </w:rPr>
        <w:t>be</w:t>
      </w:r>
      <w:r>
        <w:rPr>
          <w:spacing w:val="-4"/>
          <w:sz w:val="24"/>
        </w:rPr>
        <w:t> </w:t>
      </w:r>
      <w:r>
        <w:rPr>
          <w:sz w:val="24"/>
        </w:rPr>
        <w:t>permitted</w:t>
      </w:r>
      <w:r>
        <w:rPr>
          <w:spacing w:val="-3"/>
          <w:sz w:val="24"/>
        </w:rPr>
        <w:t> </w:t>
      </w:r>
      <w:r>
        <w:rPr>
          <w:sz w:val="24"/>
        </w:rPr>
        <w:t>if</w:t>
      </w:r>
      <w:r>
        <w:rPr>
          <w:spacing w:val="-4"/>
          <w:sz w:val="24"/>
        </w:rPr>
        <w:t> </w:t>
      </w:r>
      <w:r>
        <w:rPr>
          <w:sz w:val="24"/>
        </w:rPr>
        <w:t>certified</w:t>
      </w:r>
      <w:r>
        <w:rPr>
          <w:spacing w:val="-4"/>
          <w:sz w:val="24"/>
        </w:rPr>
        <w:t> </w:t>
      </w:r>
      <w:r>
        <w:rPr>
          <w:sz w:val="24"/>
        </w:rPr>
        <w:t>by</w:t>
      </w:r>
      <w:r>
        <w:rPr>
          <w:spacing w:val="-3"/>
          <w:sz w:val="24"/>
        </w:rPr>
        <w:t> </w:t>
      </w:r>
      <w:r>
        <w:rPr>
          <w:sz w:val="24"/>
        </w:rPr>
        <w:t>the</w:t>
      </w:r>
      <w:r>
        <w:rPr>
          <w:spacing w:val="-4"/>
          <w:sz w:val="24"/>
        </w:rPr>
        <w:t> </w:t>
      </w:r>
      <w:r>
        <w:rPr>
          <w:sz w:val="24"/>
        </w:rPr>
        <w:t>Broward</w:t>
      </w:r>
      <w:r>
        <w:rPr>
          <w:spacing w:val="-4"/>
          <w:sz w:val="24"/>
        </w:rPr>
        <w:t> </w:t>
      </w:r>
      <w:r>
        <w:rPr>
          <w:sz w:val="24"/>
        </w:rPr>
        <w:t>County</w:t>
      </w:r>
      <w:r>
        <w:rPr>
          <w:spacing w:val="-3"/>
          <w:sz w:val="24"/>
        </w:rPr>
        <w:t> </w:t>
      </w:r>
      <w:r>
        <w:rPr>
          <w:sz w:val="24"/>
        </w:rPr>
        <w:t>Planning Council</w:t>
      </w:r>
      <w:r>
        <w:rPr>
          <w:spacing w:val="-3"/>
          <w:sz w:val="24"/>
        </w:rPr>
        <w:t> </w:t>
      </w:r>
      <w:r>
        <w:rPr>
          <w:sz w:val="24"/>
        </w:rPr>
        <w:t>in</w:t>
      </w:r>
      <w:r>
        <w:rPr>
          <w:spacing w:val="-2"/>
          <w:sz w:val="24"/>
        </w:rPr>
        <w:t> </w:t>
      </w:r>
      <w:r>
        <w:rPr>
          <w:sz w:val="24"/>
        </w:rPr>
        <w:t>the</w:t>
      </w:r>
      <w:r>
        <w:rPr>
          <w:spacing w:val="-3"/>
          <w:sz w:val="24"/>
        </w:rPr>
        <w:t> </w:t>
      </w:r>
      <w:r>
        <w:rPr>
          <w:sz w:val="24"/>
        </w:rPr>
        <w:t>City</w:t>
      </w:r>
      <w:r>
        <w:rPr>
          <w:spacing w:val="-2"/>
          <w:sz w:val="24"/>
        </w:rPr>
        <w:t> </w:t>
      </w:r>
      <w:r>
        <w:rPr>
          <w:sz w:val="24"/>
        </w:rPr>
        <w:t>land</w:t>
      </w:r>
      <w:r>
        <w:rPr>
          <w:spacing w:val="-3"/>
          <w:sz w:val="24"/>
        </w:rPr>
        <w:t> </w:t>
      </w:r>
      <w:r>
        <w:rPr>
          <w:sz w:val="24"/>
        </w:rPr>
        <w:t>use</w:t>
      </w:r>
      <w:r>
        <w:rPr>
          <w:spacing w:val="-2"/>
          <w:sz w:val="24"/>
        </w:rPr>
        <w:t> </w:t>
      </w:r>
      <w:r>
        <w:rPr>
          <w:sz w:val="24"/>
        </w:rPr>
        <w:t>plan</w:t>
      </w:r>
      <w:r>
        <w:rPr>
          <w:spacing w:val="-3"/>
          <w:sz w:val="24"/>
        </w:rPr>
        <w:t> </w:t>
      </w:r>
      <w:r>
        <w:rPr>
          <w:sz w:val="24"/>
        </w:rPr>
        <w:t>as</w:t>
      </w:r>
      <w:r>
        <w:rPr>
          <w:spacing w:val="-2"/>
          <w:sz w:val="24"/>
        </w:rPr>
        <w:t> </w:t>
      </w:r>
      <w:r>
        <w:rPr>
          <w:sz w:val="24"/>
        </w:rPr>
        <w:t>long</w:t>
      </w:r>
      <w:r>
        <w:rPr>
          <w:spacing w:val="-2"/>
          <w:sz w:val="24"/>
        </w:rPr>
        <w:t> </w:t>
      </w:r>
      <w:r>
        <w:rPr>
          <w:sz w:val="24"/>
        </w:rPr>
        <w:t>as</w:t>
      </w:r>
      <w:r>
        <w:rPr>
          <w:spacing w:val="-3"/>
          <w:sz w:val="24"/>
        </w:rPr>
        <w:t> </w:t>
      </w:r>
      <w:r>
        <w:rPr>
          <w:sz w:val="24"/>
        </w:rPr>
        <w:t>the</w:t>
      </w:r>
      <w:r>
        <w:rPr>
          <w:spacing w:val="-2"/>
          <w:sz w:val="24"/>
        </w:rPr>
        <w:t> </w:t>
      </w:r>
      <w:r>
        <w:rPr>
          <w:sz w:val="24"/>
        </w:rPr>
        <w:t>total</w:t>
      </w:r>
      <w:r>
        <w:rPr>
          <w:spacing w:val="-3"/>
          <w:sz w:val="24"/>
        </w:rPr>
        <w:t> </w:t>
      </w:r>
      <w:r>
        <w:rPr>
          <w:sz w:val="24"/>
        </w:rPr>
        <w:t>area</w:t>
      </w:r>
      <w:r>
        <w:rPr>
          <w:spacing w:val="-2"/>
          <w:sz w:val="24"/>
        </w:rPr>
        <w:t> </w:t>
      </w:r>
      <w:r>
        <w:rPr>
          <w:sz w:val="24"/>
        </w:rPr>
        <w:t>of</w:t>
      </w:r>
      <w:r>
        <w:rPr>
          <w:spacing w:val="-3"/>
          <w:sz w:val="24"/>
        </w:rPr>
        <w:t> </w:t>
      </w:r>
      <w:r>
        <w:rPr>
          <w:sz w:val="24"/>
        </w:rPr>
        <w:t>these</w:t>
      </w:r>
      <w:r>
        <w:rPr>
          <w:spacing w:val="-2"/>
          <w:sz w:val="24"/>
        </w:rPr>
        <w:t> </w:t>
      </w:r>
      <w:r>
        <w:rPr>
          <w:sz w:val="24"/>
        </w:rPr>
        <w:t>uses</w:t>
      </w:r>
      <w:r>
        <w:rPr>
          <w:spacing w:val="-2"/>
          <w:sz w:val="24"/>
        </w:rPr>
        <w:t> </w:t>
      </w:r>
      <w:r>
        <w:rPr>
          <w:sz w:val="24"/>
        </w:rPr>
        <w:t>does</w:t>
      </w:r>
      <w:r>
        <w:rPr>
          <w:spacing w:val="-3"/>
          <w:sz w:val="24"/>
        </w:rPr>
        <w:t> </w:t>
      </w:r>
      <w:r>
        <w:rPr>
          <w:sz w:val="24"/>
        </w:rPr>
        <w:t>not</w:t>
      </w:r>
      <w:r>
        <w:rPr>
          <w:spacing w:val="-2"/>
          <w:sz w:val="24"/>
        </w:rPr>
        <w:t> </w:t>
      </w:r>
      <w:r>
        <w:rPr>
          <w:sz w:val="24"/>
        </w:rPr>
        <w:t>consume more than 20 percent of the industrial Land designated on the Future Broward County Land Use Plan Map (Series) within a flexibility zone, and as long as the location of these uses</w:t>
      </w:r>
      <w:r>
        <w:rPr>
          <w:spacing w:val="-8"/>
          <w:sz w:val="24"/>
        </w:rPr>
        <w:t> </w:t>
      </w:r>
      <w:r>
        <w:rPr>
          <w:sz w:val="24"/>
        </w:rPr>
        <w:t>do</w:t>
      </w:r>
      <w:r>
        <w:rPr>
          <w:spacing w:val="-8"/>
          <w:sz w:val="24"/>
        </w:rPr>
        <w:t> </w:t>
      </w:r>
      <w:r>
        <w:rPr>
          <w:sz w:val="24"/>
        </w:rPr>
        <w:t>not</w:t>
      </w:r>
      <w:r>
        <w:rPr>
          <w:spacing w:val="-7"/>
          <w:sz w:val="24"/>
        </w:rPr>
        <w:t> </w:t>
      </w:r>
      <w:r>
        <w:rPr>
          <w:sz w:val="24"/>
        </w:rPr>
        <w:t>preclude</w:t>
      </w:r>
      <w:r>
        <w:rPr>
          <w:spacing w:val="-8"/>
          <w:sz w:val="24"/>
        </w:rPr>
        <w:t> </w:t>
      </w:r>
      <w:r>
        <w:rPr>
          <w:sz w:val="24"/>
        </w:rPr>
        <w:t>or</w:t>
      </w:r>
      <w:r>
        <w:rPr>
          <w:spacing w:val="-7"/>
          <w:sz w:val="24"/>
        </w:rPr>
        <w:t> </w:t>
      </w:r>
      <w:r>
        <w:rPr>
          <w:sz w:val="24"/>
        </w:rPr>
        <w:t>adversely</w:t>
      </w:r>
      <w:r>
        <w:rPr>
          <w:spacing w:val="-8"/>
          <w:sz w:val="24"/>
        </w:rPr>
        <w:t> </w:t>
      </w:r>
      <w:r>
        <w:rPr>
          <w:sz w:val="24"/>
        </w:rPr>
        <w:t>affect</w:t>
      </w:r>
      <w:r>
        <w:rPr>
          <w:spacing w:val="-7"/>
          <w:sz w:val="24"/>
        </w:rPr>
        <w:t> </w:t>
      </w:r>
      <w:r>
        <w:rPr>
          <w:sz w:val="24"/>
        </w:rPr>
        <w:t>the</w:t>
      </w:r>
      <w:r>
        <w:rPr>
          <w:spacing w:val="-8"/>
          <w:sz w:val="24"/>
        </w:rPr>
        <w:t> </w:t>
      </w:r>
      <w:r>
        <w:rPr>
          <w:sz w:val="24"/>
        </w:rPr>
        <w:t>future</w:t>
      </w:r>
      <w:r>
        <w:rPr>
          <w:spacing w:val="-7"/>
          <w:sz w:val="24"/>
        </w:rPr>
        <w:t> </w:t>
      </w:r>
      <w:r>
        <w:rPr>
          <w:sz w:val="24"/>
        </w:rPr>
        <w:t>use</w:t>
      </w:r>
      <w:r>
        <w:rPr>
          <w:spacing w:val="-8"/>
          <w:sz w:val="24"/>
        </w:rPr>
        <w:t> </w:t>
      </w:r>
      <w:r>
        <w:rPr>
          <w:sz w:val="24"/>
        </w:rPr>
        <w:t>of</w:t>
      </w:r>
      <w:r>
        <w:rPr>
          <w:spacing w:val="-8"/>
          <w:sz w:val="24"/>
        </w:rPr>
        <w:t> </w:t>
      </w:r>
      <w:r>
        <w:rPr>
          <w:sz w:val="24"/>
        </w:rPr>
        <w:t>surrounding</w:t>
      </w:r>
      <w:r>
        <w:rPr>
          <w:spacing w:val="-7"/>
          <w:sz w:val="24"/>
        </w:rPr>
        <w:t> </w:t>
      </w:r>
      <w:r>
        <w:rPr>
          <w:sz w:val="24"/>
        </w:rPr>
        <w:t>areas</w:t>
      </w:r>
      <w:r>
        <w:rPr>
          <w:spacing w:val="-8"/>
          <w:sz w:val="24"/>
        </w:rPr>
        <w:t> </w:t>
      </w:r>
      <w:r>
        <w:rPr>
          <w:sz w:val="24"/>
        </w:rPr>
        <w:t>for</w:t>
      </w:r>
      <w:r>
        <w:rPr>
          <w:spacing w:val="-7"/>
          <w:sz w:val="24"/>
        </w:rPr>
        <w:t> </w:t>
      </w:r>
      <w:r>
        <w:rPr>
          <w:sz w:val="24"/>
        </w:rPr>
        <w:t>industrial uses:</w:t>
      </w:r>
    </w:p>
    <w:p>
      <w:pPr>
        <w:pStyle w:val="ListParagraph"/>
        <w:numPr>
          <w:ilvl w:val="1"/>
          <w:numId w:val="10"/>
        </w:numPr>
        <w:tabs>
          <w:tab w:pos="2660" w:val="left" w:leader="none"/>
        </w:tabs>
        <w:spacing w:line="292" w:lineRule="exact" w:before="0" w:after="0"/>
        <w:ind w:left="2659" w:right="0" w:hanging="231"/>
        <w:jc w:val="left"/>
        <w:rPr>
          <w:sz w:val="24"/>
        </w:rPr>
      </w:pPr>
      <w:r>
        <w:rPr>
          <w:sz w:val="24"/>
        </w:rPr>
        <w:t>Commercial and retail business</w:t>
      </w:r>
      <w:r>
        <w:rPr>
          <w:spacing w:val="-1"/>
          <w:sz w:val="24"/>
        </w:rPr>
        <w:t> </w:t>
      </w:r>
      <w:r>
        <w:rPr>
          <w:sz w:val="24"/>
        </w:rPr>
        <w:t>uses.</w:t>
      </w:r>
    </w:p>
    <w:p>
      <w:pPr>
        <w:pStyle w:val="ListParagraph"/>
        <w:numPr>
          <w:ilvl w:val="1"/>
          <w:numId w:val="10"/>
        </w:numPr>
        <w:tabs>
          <w:tab w:pos="2671" w:val="left" w:leader="none"/>
        </w:tabs>
        <w:spacing w:line="240" w:lineRule="auto" w:before="0" w:after="0"/>
        <w:ind w:left="2670" w:right="0" w:hanging="242"/>
        <w:jc w:val="left"/>
        <w:rPr>
          <w:sz w:val="24"/>
        </w:rPr>
      </w:pPr>
      <w:r>
        <w:rPr>
          <w:sz w:val="24"/>
        </w:rPr>
        <w:t>Hotel, motel and similar</w:t>
      </w:r>
      <w:r>
        <w:rPr>
          <w:spacing w:val="-2"/>
          <w:sz w:val="24"/>
        </w:rPr>
        <w:t> </w:t>
      </w:r>
      <w:r>
        <w:rPr>
          <w:sz w:val="24"/>
        </w:rPr>
        <w:t>lodging.</w:t>
      </w:r>
    </w:p>
    <w:p>
      <w:pPr>
        <w:pStyle w:val="ListParagraph"/>
        <w:numPr>
          <w:ilvl w:val="0"/>
          <w:numId w:val="10"/>
        </w:numPr>
        <w:tabs>
          <w:tab w:pos="2068" w:val="left" w:leader="none"/>
        </w:tabs>
        <w:spacing w:line="240" w:lineRule="auto" w:before="0" w:after="0"/>
        <w:ind w:left="2067" w:right="0" w:hanging="359"/>
        <w:jc w:val="left"/>
        <w:rPr>
          <w:sz w:val="24"/>
        </w:rPr>
      </w:pPr>
      <w:r>
        <w:rPr>
          <w:sz w:val="24"/>
        </w:rPr>
        <w:t>Vocational</w:t>
      </w:r>
      <w:r>
        <w:rPr>
          <w:spacing w:val="-1"/>
          <w:sz w:val="24"/>
        </w:rPr>
        <w:t> </w:t>
      </w:r>
      <w:r>
        <w:rPr>
          <w:sz w:val="24"/>
        </w:rPr>
        <w:t>Schools</w:t>
      </w:r>
    </w:p>
    <w:p>
      <w:pPr>
        <w:spacing w:after="0" w:line="240" w:lineRule="auto"/>
        <w:jc w:val="left"/>
        <w:rPr>
          <w:sz w:val="24"/>
        </w:rPr>
        <w:sectPr>
          <w:pgSz w:w="12240" w:h="15840"/>
          <w:pgMar w:header="0" w:footer="901" w:top="1380" w:bottom="1100" w:left="460" w:right="20"/>
        </w:sectPr>
      </w:pPr>
    </w:p>
    <w:p>
      <w:pPr>
        <w:pStyle w:val="Heading2"/>
        <w:spacing w:before="86"/>
        <w:ind w:left="1779"/>
        <w:rPr>
          <w:b w:val="0"/>
        </w:rPr>
      </w:pPr>
      <w:bookmarkStart w:name="_TOC_250000" w:id="22"/>
      <w:bookmarkEnd w:id="22"/>
      <w:r>
        <w:rPr>
          <w:b w:val="0"/>
        </w:rPr>
        <w:t>Exhibit H– Consistent with the City of Pompano Beach Northwest CRA Plan</w:t>
      </w:r>
    </w:p>
    <w:p>
      <w:pPr>
        <w:pStyle w:val="BodyText"/>
        <w:spacing w:before="4"/>
        <w:ind w:left="815" w:right="874"/>
        <w:jc w:val="center"/>
      </w:pPr>
      <w:r>
        <w:rPr/>
        <w:t>Adoption Date: November 9,</w:t>
      </w:r>
      <w:r>
        <w:rPr>
          <w:spacing w:val="-4"/>
        </w:rPr>
        <w:t> </w:t>
      </w:r>
      <w:r>
        <w:rPr/>
        <w:t>2010</w:t>
      </w:r>
    </w:p>
    <w:p>
      <w:pPr>
        <w:pStyle w:val="BodyText"/>
        <w:ind w:left="815" w:right="874"/>
        <w:jc w:val="center"/>
      </w:pPr>
      <w:r>
        <w:rPr/>
        <w:t>Amended Date: October 23,</w:t>
      </w:r>
      <w:r>
        <w:rPr>
          <w:spacing w:val="-1"/>
        </w:rPr>
        <w:t> </w:t>
      </w:r>
      <w:r>
        <w:rPr/>
        <w:t>2018</w:t>
      </w:r>
    </w:p>
    <w:p>
      <w:pPr>
        <w:pStyle w:val="BodyText"/>
        <w:spacing w:before="10"/>
        <w:rPr>
          <w:sz w:val="22"/>
        </w:rPr>
      </w:pPr>
    </w:p>
    <w:p>
      <w:pPr>
        <w:pStyle w:val="ListParagraph"/>
        <w:numPr>
          <w:ilvl w:val="0"/>
          <w:numId w:val="11"/>
        </w:numPr>
        <w:tabs>
          <w:tab w:pos="1350" w:val="left" w:leader="none"/>
        </w:tabs>
        <w:spacing w:line="242" w:lineRule="auto" w:before="0" w:after="0"/>
        <w:ind w:left="1349" w:right="1407" w:hanging="360"/>
        <w:jc w:val="both"/>
        <w:rPr>
          <w:sz w:val="24"/>
        </w:rPr>
      </w:pPr>
      <w:r>
        <w:rPr>
          <w:sz w:val="24"/>
        </w:rPr>
        <w:t>The subject property is located within the Pompano Beach NWCRA Area. The proposed to allow for general industrial use is consistent with the NW CRA Plan, specifically with the</w:t>
      </w:r>
      <w:r>
        <w:rPr>
          <w:spacing w:val="-33"/>
          <w:sz w:val="24"/>
        </w:rPr>
        <w:t> </w:t>
      </w:r>
      <w:r>
        <w:rPr>
          <w:sz w:val="24"/>
        </w:rPr>
        <w:t>uses contained within Sub-Area No. # 3- Northwest Industrial area, as further discussed</w:t>
      </w:r>
      <w:r>
        <w:rPr>
          <w:spacing w:val="-12"/>
          <w:sz w:val="24"/>
        </w:rPr>
        <w:t> </w:t>
      </w:r>
      <w:r>
        <w:rPr>
          <w:sz w:val="24"/>
        </w:rPr>
        <w:t>below:</w:t>
      </w:r>
    </w:p>
    <w:p>
      <w:pPr>
        <w:pStyle w:val="BodyText"/>
        <w:spacing w:before="5"/>
        <w:rPr>
          <w:sz w:val="22"/>
        </w:rPr>
      </w:pPr>
    </w:p>
    <w:p>
      <w:pPr>
        <w:pStyle w:val="ListParagraph"/>
        <w:numPr>
          <w:ilvl w:val="1"/>
          <w:numId w:val="11"/>
        </w:numPr>
        <w:tabs>
          <w:tab w:pos="1710" w:val="left" w:leader="none"/>
        </w:tabs>
        <w:spacing w:line="240" w:lineRule="auto" w:before="0" w:after="0"/>
        <w:ind w:left="1709" w:right="1408" w:hanging="360"/>
        <w:jc w:val="both"/>
        <w:rPr>
          <w:sz w:val="24"/>
        </w:rPr>
      </w:pPr>
      <w:r>
        <w:rPr>
          <w:sz w:val="24"/>
        </w:rPr>
        <w:t>As noted in the City’s adopted NWCRA Plan, “Industrial and warehouse uses are the predominant uses in the northwest quadrant, generally west of I-95 and north of NW 15 Street. This industrial area is enhanced by the access to I-95 and the Florida Turnpike, as well as to the CSX and FEC railroad</w:t>
      </w:r>
      <w:r>
        <w:rPr>
          <w:spacing w:val="-2"/>
          <w:sz w:val="24"/>
        </w:rPr>
        <w:t> </w:t>
      </w:r>
      <w:r>
        <w:rPr>
          <w:sz w:val="24"/>
        </w:rPr>
        <w:t>lines.”</w:t>
      </w:r>
    </w:p>
    <w:p>
      <w:pPr>
        <w:pStyle w:val="ListParagraph"/>
        <w:numPr>
          <w:ilvl w:val="1"/>
          <w:numId w:val="11"/>
        </w:numPr>
        <w:tabs>
          <w:tab w:pos="1710" w:val="left" w:leader="none"/>
        </w:tabs>
        <w:spacing w:line="240" w:lineRule="auto" w:before="0" w:after="0"/>
        <w:ind w:left="1709" w:right="1407" w:hanging="360"/>
        <w:jc w:val="both"/>
        <w:rPr>
          <w:sz w:val="24"/>
        </w:rPr>
      </w:pPr>
      <w:r>
        <w:rPr>
          <w:sz w:val="24"/>
        </w:rPr>
        <w:t>The NWCRA Plan includes seven geographic sub-areas that are described in general by their</w:t>
      </w:r>
      <w:r>
        <w:rPr>
          <w:spacing w:val="-13"/>
          <w:sz w:val="24"/>
        </w:rPr>
        <w:t> </w:t>
      </w:r>
      <w:r>
        <w:rPr>
          <w:sz w:val="24"/>
        </w:rPr>
        <w:t>major</w:t>
      </w:r>
      <w:r>
        <w:rPr>
          <w:spacing w:val="-13"/>
          <w:sz w:val="24"/>
        </w:rPr>
        <w:t> </w:t>
      </w:r>
      <w:r>
        <w:rPr>
          <w:sz w:val="24"/>
        </w:rPr>
        <w:t>characteristics.</w:t>
      </w:r>
      <w:r>
        <w:rPr>
          <w:spacing w:val="29"/>
          <w:sz w:val="24"/>
        </w:rPr>
        <w:t> </w:t>
      </w:r>
      <w:r>
        <w:rPr>
          <w:sz w:val="24"/>
        </w:rPr>
        <w:t>The</w:t>
      </w:r>
      <w:r>
        <w:rPr>
          <w:spacing w:val="-12"/>
          <w:sz w:val="24"/>
        </w:rPr>
        <w:t> </w:t>
      </w:r>
      <w:r>
        <w:rPr>
          <w:sz w:val="24"/>
        </w:rPr>
        <w:t>subject</w:t>
      </w:r>
      <w:r>
        <w:rPr>
          <w:spacing w:val="-13"/>
          <w:sz w:val="24"/>
        </w:rPr>
        <w:t> </w:t>
      </w:r>
      <w:r>
        <w:rPr>
          <w:sz w:val="24"/>
        </w:rPr>
        <w:t>property</w:t>
      </w:r>
      <w:r>
        <w:rPr>
          <w:spacing w:val="-13"/>
          <w:sz w:val="24"/>
        </w:rPr>
        <w:t> </w:t>
      </w:r>
      <w:r>
        <w:rPr>
          <w:sz w:val="24"/>
        </w:rPr>
        <w:t>is</w:t>
      </w:r>
      <w:r>
        <w:rPr>
          <w:spacing w:val="-13"/>
          <w:sz w:val="24"/>
        </w:rPr>
        <w:t> </w:t>
      </w:r>
      <w:r>
        <w:rPr>
          <w:sz w:val="24"/>
        </w:rPr>
        <w:t>located</w:t>
      </w:r>
      <w:r>
        <w:rPr>
          <w:spacing w:val="-13"/>
          <w:sz w:val="24"/>
        </w:rPr>
        <w:t> </w:t>
      </w:r>
      <w:r>
        <w:rPr>
          <w:sz w:val="24"/>
        </w:rPr>
        <w:t>in</w:t>
      </w:r>
      <w:r>
        <w:rPr>
          <w:spacing w:val="-12"/>
          <w:sz w:val="24"/>
        </w:rPr>
        <w:t> </w:t>
      </w:r>
      <w:r>
        <w:rPr>
          <w:b/>
          <w:i/>
          <w:sz w:val="24"/>
        </w:rPr>
        <w:t>Sub-Area</w:t>
      </w:r>
      <w:r>
        <w:rPr>
          <w:b/>
          <w:i/>
          <w:spacing w:val="-13"/>
          <w:sz w:val="24"/>
        </w:rPr>
        <w:t> </w:t>
      </w:r>
      <w:r>
        <w:rPr>
          <w:b/>
          <w:i/>
          <w:sz w:val="24"/>
        </w:rPr>
        <w:t>No.</w:t>
      </w:r>
      <w:r>
        <w:rPr>
          <w:b/>
          <w:i/>
          <w:spacing w:val="-13"/>
          <w:sz w:val="24"/>
        </w:rPr>
        <w:t> </w:t>
      </w:r>
      <w:r>
        <w:rPr>
          <w:b/>
          <w:i/>
          <w:sz w:val="24"/>
        </w:rPr>
        <w:t>3</w:t>
      </w:r>
      <w:r>
        <w:rPr>
          <w:b/>
          <w:i/>
          <w:spacing w:val="-13"/>
          <w:sz w:val="24"/>
        </w:rPr>
        <w:t> </w:t>
      </w:r>
      <w:r>
        <w:rPr>
          <w:b/>
          <w:i/>
          <w:sz w:val="24"/>
        </w:rPr>
        <w:t>–</w:t>
      </w:r>
      <w:r>
        <w:rPr>
          <w:b/>
          <w:i/>
          <w:spacing w:val="-13"/>
          <w:sz w:val="24"/>
        </w:rPr>
        <w:t> </w:t>
      </w:r>
      <w:r>
        <w:rPr>
          <w:b/>
          <w:i/>
          <w:sz w:val="24"/>
        </w:rPr>
        <w:t>Northwest </w:t>
      </w:r>
      <w:r>
        <w:rPr>
          <w:b/>
          <w:i/>
          <w:sz w:val="24"/>
        </w:rPr>
        <w:t>Industrial. </w:t>
      </w:r>
      <w:r>
        <w:rPr>
          <w:sz w:val="24"/>
        </w:rPr>
        <w:t>This sub-area is predominantly industrial, and according to the NWCRA Plan, this</w:t>
      </w:r>
      <w:r>
        <w:rPr>
          <w:spacing w:val="-12"/>
          <w:sz w:val="24"/>
        </w:rPr>
        <w:t> </w:t>
      </w:r>
      <w:r>
        <w:rPr>
          <w:sz w:val="24"/>
        </w:rPr>
        <w:t>sub-area</w:t>
      </w:r>
      <w:r>
        <w:rPr>
          <w:spacing w:val="-12"/>
          <w:sz w:val="24"/>
        </w:rPr>
        <w:t> </w:t>
      </w:r>
      <w:r>
        <w:rPr>
          <w:sz w:val="24"/>
        </w:rPr>
        <w:t>is</w:t>
      </w:r>
      <w:r>
        <w:rPr>
          <w:spacing w:val="-12"/>
          <w:sz w:val="24"/>
        </w:rPr>
        <w:t> </w:t>
      </w:r>
      <w:r>
        <w:rPr>
          <w:sz w:val="24"/>
        </w:rPr>
        <w:t>“…a</w:t>
      </w:r>
      <w:r>
        <w:rPr>
          <w:spacing w:val="-11"/>
          <w:sz w:val="24"/>
        </w:rPr>
        <w:t> </w:t>
      </w:r>
      <w:r>
        <w:rPr>
          <w:sz w:val="24"/>
        </w:rPr>
        <w:t>busy</w:t>
      </w:r>
      <w:r>
        <w:rPr>
          <w:spacing w:val="-12"/>
          <w:sz w:val="24"/>
        </w:rPr>
        <w:t> </w:t>
      </w:r>
      <w:r>
        <w:rPr>
          <w:sz w:val="24"/>
        </w:rPr>
        <w:t>and</w:t>
      </w:r>
      <w:r>
        <w:rPr>
          <w:spacing w:val="-12"/>
          <w:sz w:val="24"/>
        </w:rPr>
        <w:t> </w:t>
      </w:r>
      <w:r>
        <w:rPr>
          <w:sz w:val="24"/>
        </w:rPr>
        <w:t>active</w:t>
      </w:r>
      <w:r>
        <w:rPr>
          <w:spacing w:val="-11"/>
          <w:sz w:val="24"/>
        </w:rPr>
        <w:t> </w:t>
      </w:r>
      <w:r>
        <w:rPr>
          <w:sz w:val="24"/>
        </w:rPr>
        <w:t>area</w:t>
      </w:r>
      <w:r>
        <w:rPr>
          <w:spacing w:val="-12"/>
          <w:sz w:val="24"/>
        </w:rPr>
        <w:t> </w:t>
      </w:r>
      <w:r>
        <w:rPr>
          <w:sz w:val="24"/>
        </w:rPr>
        <w:t>that</w:t>
      </w:r>
      <w:r>
        <w:rPr>
          <w:spacing w:val="-12"/>
          <w:sz w:val="24"/>
        </w:rPr>
        <w:t> </w:t>
      </w:r>
      <w:r>
        <w:rPr>
          <w:sz w:val="24"/>
        </w:rPr>
        <w:t>contributes</w:t>
      </w:r>
      <w:r>
        <w:rPr>
          <w:spacing w:val="-12"/>
          <w:sz w:val="24"/>
        </w:rPr>
        <w:t> </w:t>
      </w:r>
      <w:r>
        <w:rPr>
          <w:sz w:val="24"/>
        </w:rPr>
        <w:t>many</w:t>
      </w:r>
      <w:r>
        <w:rPr>
          <w:spacing w:val="-11"/>
          <w:sz w:val="24"/>
        </w:rPr>
        <w:t> </w:t>
      </w:r>
      <w:r>
        <w:rPr>
          <w:sz w:val="24"/>
        </w:rPr>
        <w:t>jobs</w:t>
      </w:r>
      <w:r>
        <w:rPr>
          <w:spacing w:val="-12"/>
          <w:sz w:val="24"/>
        </w:rPr>
        <w:t> </w:t>
      </w:r>
      <w:r>
        <w:rPr>
          <w:sz w:val="24"/>
        </w:rPr>
        <w:t>to</w:t>
      </w:r>
      <w:r>
        <w:rPr>
          <w:spacing w:val="-12"/>
          <w:sz w:val="24"/>
        </w:rPr>
        <w:t> </w:t>
      </w:r>
      <w:r>
        <w:rPr>
          <w:sz w:val="24"/>
        </w:rPr>
        <w:t>the</w:t>
      </w:r>
      <w:r>
        <w:rPr>
          <w:spacing w:val="-11"/>
          <w:sz w:val="24"/>
        </w:rPr>
        <w:t> </w:t>
      </w:r>
      <w:r>
        <w:rPr>
          <w:sz w:val="24"/>
        </w:rPr>
        <w:t>local</w:t>
      </w:r>
      <w:r>
        <w:rPr>
          <w:spacing w:val="-12"/>
          <w:sz w:val="24"/>
        </w:rPr>
        <w:t> </w:t>
      </w:r>
      <w:r>
        <w:rPr>
          <w:sz w:val="24"/>
        </w:rPr>
        <w:t>economy. It owes its success to an advantageous location with access to two major rail corridors and</w:t>
      </w:r>
      <w:r>
        <w:rPr>
          <w:spacing w:val="-8"/>
          <w:sz w:val="24"/>
        </w:rPr>
        <w:t> </w:t>
      </w:r>
      <w:r>
        <w:rPr>
          <w:sz w:val="24"/>
        </w:rPr>
        <w:t>I-95.</w:t>
      </w:r>
      <w:r>
        <w:rPr>
          <w:spacing w:val="-8"/>
          <w:sz w:val="24"/>
        </w:rPr>
        <w:t> </w:t>
      </w:r>
      <w:r>
        <w:rPr>
          <w:sz w:val="24"/>
        </w:rPr>
        <w:t>The</w:t>
      </w:r>
      <w:r>
        <w:rPr>
          <w:spacing w:val="-8"/>
          <w:sz w:val="24"/>
        </w:rPr>
        <w:t> </w:t>
      </w:r>
      <w:r>
        <w:rPr>
          <w:sz w:val="24"/>
        </w:rPr>
        <w:t>recent</w:t>
      </w:r>
      <w:r>
        <w:rPr>
          <w:spacing w:val="-7"/>
          <w:sz w:val="24"/>
        </w:rPr>
        <w:t> </w:t>
      </w:r>
      <w:r>
        <w:rPr>
          <w:sz w:val="24"/>
        </w:rPr>
        <w:t>extension</w:t>
      </w:r>
      <w:r>
        <w:rPr>
          <w:spacing w:val="-8"/>
          <w:sz w:val="24"/>
        </w:rPr>
        <w:t> </w:t>
      </w:r>
      <w:r>
        <w:rPr>
          <w:sz w:val="24"/>
        </w:rPr>
        <w:t>of</w:t>
      </w:r>
      <w:r>
        <w:rPr>
          <w:spacing w:val="-8"/>
          <w:sz w:val="24"/>
        </w:rPr>
        <w:t> </w:t>
      </w:r>
      <w:r>
        <w:rPr>
          <w:sz w:val="24"/>
        </w:rPr>
        <w:t>Andrews</w:t>
      </w:r>
      <w:r>
        <w:rPr>
          <w:spacing w:val="-7"/>
          <w:sz w:val="24"/>
        </w:rPr>
        <w:t> </w:t>
      </w:r>
      <w:r>
        <w:rPr>
          <w:sz w:val="24"/>
        </w:rPr>
        <w:t>Avenue</w:t>
      </w:r>
      <w:r>
        <w:rPr>
          <w:spacing w:val="-8"/>
          <w:sz w:val="24"/>
        </w:rPr>
        <w:t> </w:t>
      </w:r>
      <w:r>
        <w:rPr>
          <w:sz w:val="24"/>
        </w:rPr>
        <w:t>through</w:t>
      </w:r>
      <w:r>
        <w:rPr>
          <w:spacing w:val="-8"/>
          <w:sz w:val="24"/>
        </w:rPr>
        <w:t> </w:t>
      </w:r>
      <w:r>
        <w:rPr>
          <w:sz w:val="24"/>
        </w:rPr>
        <w:t>the</w:t>
      </w:r>
      <w:r>
        <w:rPr>
          <w:spacing w:val="-8"/>
          <w:sz w:val="24"/>
        </w:rPr>
        <w:t> </w:t>
      </w:r>
      <w:r>
        <w:rPr>
          <w:sz w:val="24"/>
        </w:rPr>
        <w:t>heart</w:t>
      </w:r>
      <w:r>
        <w:rPr>
          <w:spacing w:val="-7"/>
          <w:sz w:val="24"/>
        </w:rPr>
        <w:t> </w:t>
      </w:r>
      <w:r>
        <w:rPr>
          <w:sz w:val="24"/>
        </w:rPr>
        <w:t>of</w:t>
      </w:r>
      <w:r>
        <w:rPr>
          <w:spacing w:val="-8"/>
          <w:sz w:val="24"/>
        </w:rPr>
        <w:t> </w:t>
      </w:r>
      <w:r>
        <w:rPr>
          <w:sz w:val="24"/>
        </w:rPr>
        <w:t>this</w:t>
      </w:r>
      <w:r>
        <w:rPr>
          <w:spacing w:val="-8"/>
          <w:sz w:val="24"/>
        </w:rPr>
        <w:t> </w:t>
      </w:r>
      <w:r>
        <w:rPr>
          <w:sz w:val="24"/>
        </w:rPr>
        <w:t>area</w:t>
      </w:r>
      <w:r>
        <w:rPr>
          <w:spacing w:val="-7"/>
          <w:sz w:val="24"/>
        </w:rPr>
        <w:t> </w:t>
      </w:r>
      <w:r>
        <w:rPr>
          <w:sz w:val="24"/>
        </w:rPr>
        <w:t>will</w:t>
      </w:r>
      <w:r>
        <w:rPr>
          <w:spacing w:val="-8"/>
          <w:sz w:val="24"/>
        </w:rPr>
        <w:t> </w:t>
      </w:r>
      <w:r>
        <w:rPr>
          <w:sz w:val="24"/>
        </w:rPr>
        <w:t>only serve to improve its connectivity to the</w:t>
      </w:r>
      <w:r>
        <w:rPr>
          <w:spacing w:val="-2"/>
          <w:sz w:val="24"/>
        </w:rPr>
        <w:t> </w:t>
      </w:r>
      <w:r>
        <w:rPr>
          <w:sz w:val="24"/>
        </w:rPr>
        <w:t>region.”</w:t>
      </w:r>
    </w:p>
    <w:p>
      <w:pPr>
        <w:pStyle w:val="ListParagraph"/>
        <w:numPr>
          <w:ilvl w:val="1"/>
          <w:numId w:val="11"/>
        </w:numPr>
        <w:tabs>
          <w:tab w:pos="1710" w:val="left" w:leader="none"/>
        </w:tabs>
        <w:spacing w:line="240" w:lineRule="auto" w:before="0" w:after="0"/>
        <w:ind w:left="1709" w:right="1408" w:hanging="360"/>
        <w:jc w:val="both"/>
        <w:rPr>
          <w:sz w:val="24"/>
        </w:rPr>
      </w:pPr>
      <w:r>
        <w:rPr>
          <w:sz w:val="24"/>
        </w:rPr>
        <w:t>The NWCRA Plan also notes that the major zoning designation in the NWCRA is the General Industrial District, I-1. According to the Plan, I-1 is the district in the northwest corner of the CRA Area. Bounded on all sides by major arterial streets, it provides easy access to heavy</w:t>
      </w:r>
      <w:r>
        <w:rPr>
          <w:spacing w:val="-1"/>
          <w:sz w:val="24"/>
        </w:rPr>
        <w:t> </w:t>
      </w:r>
      <w:r>
        <w:rPr>
          <w:sz w:val="24"/>
        </w:rPr>
        <w:t>traffic.</w:t>
      </w:r>
    </w:p>
    <w:p>
      <w:pPr>
        <w:pStyle w:val="BodyText"/>
        <w:spacing w:before="2"/>
      </w:pPr>
    </w:p>
    <w:p>
      <w:pPr>
        <w:pStyle w:val="ListParagraph"/>
        <w:numPr>
          <w:ilvl w:val="0"/>
          <w:numId w:val="11"/>
        </w:numPr>
        <w:tabs>
          <w:tab w:pos="1350" w:val="left" w:leader="none"/>
        </w:tabs>
        <w:spacing w:line="240" w:lineRule="auto" w:before="0" w:after="0"/>
        <w:ind w:left="1349" w:right="1408" w:hanging="360"/>
        <w:jc w:val="both"/>
        <w:rPr>
          <w:sz w:val="24"/>
        </w:rPr>
      </w:pPr>
      <w:r>
        <w:rPr>
          <w:sz w:val="24"/>
        </w:rPr>
        <w:t>The proposed rezoning to provide for general industrial warehouse uses also supports the following General Industrial Project Objectives of this area of the</w:t>
      </w:r>
      <w:r>
        <w:rPr>
          <w:spacing w:val="-3"/>
          <w:sz w:val="24"/>
        </w:rPr>
        <w:t> </w:t>
      </w:r>
      <w:r>
        <w:rPr>
          <w:sz w:val="24"/>
        </w:rPr>
        <w:t>NWCRA:</w:t>
      </w:r>
    </w:p>
    <w:p>
      <w:pPr>
        <w:pStyle w:val="BodyText"/>
        <w:spacing w:before="2"/>
        <w:rPr>
          <w:sz w:val="23"/>
        </w:rPr>
      </w:pPr>
    </w:p>
    <w:p>
      <w:pPr>
        <w:pStyle w:val="Heading3"/>
      </w:pPr>
      <w:r>
        <w:rPr/>
        <w:t>Project Objectives</w:t>
      </w:r>
    </w:p>
    <w:p>
      <w:pPr>
        <w:pStyle w:val="BodyText"/>
        <w:spacing w:before="5"/>
        <w:rPr>
          <w:b/>
          <w:sz w:val="22"/>
        </w:rPr>
      </w:pPr>
    </w:p>
    <w:p>
      <w:pPr>
        <w:pStyle w:val="ListParagraph"/>
        <w:numPr>
          <w:ilvl w:val="0"/>
          <w:numId w:val="12"/>
        </w:numPr>
        <w:tabs>
          <w:tab w:pos="2429" w:val="left" w:leader="none"/>
          <w:tab w:pos="2430" w:val="left" w:leader="none"/>
        </w:tabs>
        <w:spacing w:line="240" w:lineRule="auto" w:before="0" w:after="0"/>
        <w:ind w:left="2429" w:right="0" w:hanging="361"/>
        <w:jc w:val="left"/>
        <w:rPr>
          <w:sz w:val="24"/>
        </w:rPr>
      </w:pPr>
      <w:r>
        <w:rPr>
          <w:sz w:val="24"/>
        </w:rPr>
        <w:t>Provide economic stimulation and increase investment in the</w:t>
      </w:r>
      <w:r>
        <w:rPr>
          <w:spacing w:val="-1"/>
          <w:sz w:val="24"/>
        </w:rPr>
        <w:t> </w:t>
      </w:r>
      <w:r>
        <w:rPr>
          <w:sz w:val="24"/>
        </w:rPr>
        <w:t>area.</w:t>
      </w:r>
    </w:p>
    <w:p>
      <w:pPr>
        <w:pStyle w:val="ListParagraph"/>
        <w:numPr>
          <w:ilvl w:val="0"/>
          <w:numId w:val="12"/>
        </w:numPr>
        <w:tabs>
          <w:tab w:pos="2429" w:val="left" w:leader="none"/>
          <w:tab w:pos="2430" w:val="left" w:leader="none"/>
        </w:tabs>
        <w:spacing w:line="240" w:lineRule="auto" w:before="0" w:after="0"/>
        <w:ind w:left="2429" w:right="0" w:hanging="361"/>
        <w:jc w:val="left"/>
        <w:rPr>
          <w:sz w:val="24"/>
        </w:rPr>
      </w:pPr>
      <w:r>
        <w:rPr>
          <w:sz w:val="24"/>
        </w:rPr>
        <w:t>Recruit businesses to relocate in the</w:t>
      </w:r>
      <w:r>
        <w:rPr>
          <w:spacing w:val="-2"/>
          <w:sz w:val="24"/>
        </w:rPr>
        <w:t> </w:t>
      </w:r>
      <w:r>
        <w:rPr>
          <w:sz w:val="24"/>
        </w:rPr>
        <w:t>area.</w:t>
      </w:r>
    </w:p>
    <w:p>
      <w:pPr>
        <w:pStyle w:val="ListParagraph"/>
        <w:numPr>
          <w:ilvl w:val="0"/>
          <w:numId w:val="12"/>
        </w:numPr>
        <w:tabs>
          <w:tab w:pos="2429" w:val="left" w:leader="none"/>
          <w:tab w:pos="2430" w:val="left" w:leader="none"/>
        </w:tabs>
        <w:spacing w:line="240" w:lineRule="auto" w:before="0" w:after="0"/>
        <w:ind w:left="2429" w:right="0" w:hanging="361"/>
        <w:jc w:val="left"/>
        <w:rPr>
          <w:sz w:val="24"/>
        </w:rPr>
      </w:pPr>
      <w:r>
        <w:rPr>
          <w:sz w:val="24"/>
        </w:rPr>
        <w:t>Provide incentives for existing industries and recruited</w:t>
      </w:r>
      <w:r>
        <w:rPr>
          <w:spacing w:val="-1"/>
          <w:sz w:val="24"/>
        </w:rPr>
        <w:t> </w:t>
      </w:r>
      <w:r>
        <w:rPr>
          <w:sz w:val="24"/>
        </w:rPr>
        <w:t>industries.</w:t>
      </w:r>
    </w:p>
    <w:p>
      <w:pPr>
        <w:pStyle w:val="BodyText"/>
        <w:spacing w:before="2"/>
        <w:rPr>
          <w:sz w:val="23"/>
        </w:rPr>
      </w:pPr>
    </w:p>
    <w:p>
      <w:pPr>
        <w:pStyle w:val="ListParagraph"/>
        <w:numPr>
          <w:ilvl w:val="0"/>
          <w:numId w:val="11"/>
        </w:numPr>
        <w:tabs>
          <w:tab w:pos="1350" w:val="left" w:leader="none"/>
        </w:tabs>
        <w:spacing w:line="240" w:lineRule="auto" w:before="0" w:after="0"/>
        <w:ind w:left="1349" w:right="1407" w:hanging="360"/>
        <w:jc w:val="both"/>
        <w:rPr>
          <w:sz w:val="24"/>
        </w:rPr>
      </w:pPr>
      <w:r>
        <w:rPr>
          <w:sz w:val="24"/>
        </w:rPr>
        <w:t>The proposed amendment is also consistent with the following objectives and policies contained within the City’s Comprehensive Plan, as they relate to the NWCRA</w:t>
      </w:r>
      <w:r>
        <w:rPr>
          <w:spacing w:val="-5"/>
          <w:sz w:val="24"/>
        </w:rPr>
        <w:t> </w:t>
      </w:r>
      <w:r>
        <w:rPr>
          <w:sz w:val="24"/>
        </w:rPr>
        <w:t>area:</w:t>
      </w:r>
    </w:p>
    <w:p>
      <w:pPr>
        <w:pStyle w:val="BodyText"/>
      </w:pPr>
    </w:p>
    <w:p>
      <w:pPr>
        <w:pStyle w:val="Heading3"/>
      </w:pPr>
      <w:r>
        <w:rPr/>
        <w:t>Objective Community Redevelopment</w:t>
      </w:r>
    </w:p>
    <w:p>
      <w:pPr>
        <w:pStyle w:val="ListParagraph"/>
        <w:numPr>
          <w:ilvl w:val="2"/>
          <w:numId w:val="13"/>
        </w:numPr>
        <w:tabs>
          <w:tab w:pos="1932" w:val="left" w:leader="none"/>
        </w:tabs>
        <w:spacing w:line="240" w:lineRule="auto" w:before="0" w:after="0"/>
        <w:ind w:left="989" w:right="1407" w:firstLine="0"/>
        <w:jc w:val="left"/>
        <w:rPr>
          <w:sz w:val="24"/>
        </w:rPr>
      </w:pPr>
      <w:r>
        <w:rPr>
          <w:sz w:val="24"/>
        </w:rPr>
        <w:t>Amend the Land Use Plan map and Zoning map to support new development and redevelopment in the Community Redevelopment</w:t>
      </w:r>
      <w:r>
        <w:rPr>
          <w:spacing w:val="-2"/>
          <w:sz w:val="24"/>
        </w:rPr>
        <w:t> </w:t>
      </w:r>
      <w:r>
        <w:rPr>
          <w:sz w:val="24"/>
        </w:rPr>
        <w:t>Areas.</w:t>
      </w:r>
    </w:p>
    <w:p>
      <w:pPr>
        <w:pStyle w:val="BodyText"/>
        <w:spacing w:before="11"/>
        <w:rPr>
          <w:sz w:val="23"/>
        </w:rPr>
      </w:pPr>
    </w:p>
    <w:p>
      <w:pPr>
        <w:pStyle w:val="Heading3"/>
        <w:ind w:left="1709"/>
      </w:pPr>
      <w:r>
        <w:rPr/>
        <w:t>Policies</w:t>
      </w:r>
    </w:p>
    <w:p>
      <w:pPr>
        <w:pStyle w:val="ListParagraph"/>
        <w:numPr>
          <w:ilvl w:val="2"/>
          <w:numId w:val="13"/>
        </w:numPr>
        <w:tabs>
          <w:tab w:pos="2609" w:val="left" w:leader="none"/>
        </w:tabs>
        <w:spacing w:line="240" w:lineRule="auto" w:before="0" w:after="0"/>
        <w:ind w:left="1709" w:right="1408" w:firstLine="0"/>
        <w:jc w:val="left"/>
        <w:rPr>
          <w:sz w:val="24"/>
        </w:rPr>
      </w:pPr>
      <w:r>
        <w:rPr>
          <w:sz w:val="24"/>
        </w:rPr>
        <w:t>Follow</w:t>
      </w:r>
      <w:r>
        <w:rPr>
          <w:spacing w:val="-7"/>
          <w:sz w:val="24"/>
        </w:rPr>
        <w:t> </w:t>
      </w:r>
      <w:r>
        <w:rPr>
          <w:sz w:val="24"/>
        </w:rPr>
        <w:t>the</w:t>
      </w:r>
      <w:r>
        <w:rPr>
          <w:spacing w:val="-7"/>
          <w:sz w:val="24"/>
        </w:rPr>
        <w:t> </w:t>
      </w:r>
      <w:r>
        <w:rPr>
          <w:sz w:val="24"/>
        </w:rPr>
        <w:t>recommendation</w:t>
      </w:r>
      <w:r>
        <w:rPr>
          <w:spacing w:val="-7"/>
          <w:sz w:val="24"/>
        </w:rPr>
        <w:t> </w:t>
      </w:r>
      <w:r>
        <w:rPr>
          <w:sz w:val="24"/>
        </w:rPr>
        <w:t>of</w:t>
      </w:r>
      <w:r>
        <w:rPr>
          <w:spacing w:val="-7"/>
          <w:sz w:val="24"/>
        </w:rPr>
        <w:t> </w:t>
      </w:r>
      <w:r>
        <w:rPr>
          <w:sz w:val="24"/>
        </w:rPr>
        <w:t>the</w:t>
      </w:r>
      <w:r>
        <w:rPr>
          <w:spacing w:val="-6"/>
          <w:sz w:val="24"/>
        </w:rPr>
        <w:t> </w:t>
      </w:r>
      <w:r>
        <w:rPr>
          <w:sz w:val="24"/>
        </w:rPr>
        <w:t>Community</w:t>
      </w:r>
      <w:r>
        <w:rPr>
          <w:spacing w:val="-7"/>
          <w:sz w:val="24"/>
        </w:rPr>
        <w:t> </w:t>
      </w:r>
      <w:r>
        <w:rPr>
          <w:sz w:val="24"/>
        </w:rPr>
        <w:t>Redevelopment</w:t>
      </w:r>
      <w:r>
        <w:rPr>
          <w:spacing w:val="-7"/>
          <w:sz w:val="24"/>
        </w:rPr>
        <w:t> </w:t>
      </w:r>
      <w:r>
        <w:rPr>
          <w:sz w:val="24"/>
        </w:rPr>
        <w:t>Plans</w:t>
      </w:r>
      <w:r>
        <w:rPr>
          <w:spacing w:val="-7"/>
          <w:sz w:val="24"/>
        </w:rPr>
        <w:t> </w:t>
      </w:r>
      <w:r>
        <w:rPr>
          <w:sz w:val="24"/>
        </w:rPr>
        <w:t>in</w:t>
      </w:r>
      <w:r>
        <w:rPr>
          <w:spacing w:val="-7"/>
          <w:sz w:val="24"/>
        </w:rPr>
        <w:t> </w:t>
      </w:r>
      <w:r>
        <w:rPr>
          <w:sz w:val="24"/>
        </w:rPr>
        <w:t>all</w:t>
      </w:r>
      <w:r>
        <w:rPr>
          <w:spacing w:val="-7"/>
          <w:sz w:val="24"/>
        </w:rPr>
        <w:t> </w:t>
      </w:r>
      <w:r>
        <w:rPr>
          <w:sz w:val="24"/>
        </w:rPr>
        <w:t>Land Use Plan amendments and</w:t>
      </w:r>
      <w:r>
        <w:rPr>
          <w:spacing w:val="-1"/>
          <w:sz w:val="24"/>
        </w:rPr>
        <w:t> </w:t>
      </w:r>
      <w:r>
        <w:rPr>
          <w:sz w:val="24"/>
        </w:rPr>
        <w:t>rezonings.</w:t>
      </w:r>
    </w:p>
    <w:p>
      <w:pPr>
        <w:spacing w:after="0" w:line="240" w:lineRule="auto"/>
        <w:jc w:val="left"/>
        <w:rPr>
          <w:sz w:val="24"/>
        </w:rPr>
        <w:sectPr>
          <w:pgSz w:w="12240" w:h="15840"/>
          <w:pgMar w:header="0" w:footer="901" w:top="1360" w:bottom="1100" w:left="460" w:right="20"/>
        </w:sectPr>
      </w:pPr>
    </w:p>
    <w:p>
      <w:pPr>
        <w:pStyle w:val="Heading3"/>
        <w:spacing w:before="71"/>
        <w:jc w:val="both"/>
      </w:pPr>
      <w:r>
        <w:rPr/>
        <w:t>Objective Urban Infill</w:t>
      </w:r>
    </w:p>
    <w:p>
      <w:pPr>
        <w:pStyle w:val="BodyText"/>
        <w:ind w:left="989" w:right="1408"/>
        <w:jc w:val="both"/>
      </w:pPr>
      <w:r>
        <w:rPr/>
        <w:t>01.11.00 Identify Urban Infill Areas and Community Redevelopment Areas, adopted pursuant to Chapter 163, Part III, Florida Statutes within the existing urban service area of the City of Pompano Beach.</w:t>
      </w:r>
    </w:p>
    <w:p>
      <w:pPr>
        <w:pStyle w:val="BodyText"/>
        <w:spacing w:before="11"/>
        <w:rPr>
          <w:sz w:val="23"/>
        </w:rPr>
      </w:pPr>
    </w:p>
    <w:p>
      <w:pPr>
        <w:pStyle w:val="Heading3"/>
        <w:ind w:left="1709"/>
      </w:pPr>
      <w:r>
        <w:rPr/>
        <w:t>Policies</w:t>
      </w:r>
    </w:p>
    <w:p>
      <w:pPr>
        <w:pStyle w:val="BodyText"/>
        <w:ind w:left="1709" w:right="1408"/>
        <w:jc w:val="both"/>
      </w:pPr>
      <w:r>
        <w:rPr/>
        <w:t>01.11.03 Redevelopment activities in the Community Redevelopment Areas shall be guided by their respective Community Redevelopment Plans, adopted pursuant to Chapter 163, Part III, Florida Statutes.</w:t>
      </w:r>
    </w:p>
    <w:p>
      <w:pPr>
        <w:pStyle w:val="BodyText"/>
        <w:spacing w:before="12"/>
        <w:rPr>
          <w:sz w:val="23"/>
        </w:rPr>
      </w:pPr>
    </w:p>
    <w:p>
      <w:pPr>
        <w:pStyle w:val="Heading3"/>
        <w:jc w:val="both"/>
      </w:pPr>
      <w:r>
        <w:rPr/>
        <w:t>Objective Urban Infill Criteria</w:t>
      </w:r>
    </w:p>
    <w:p>
      <w:pPr>
        <w:pStyle w:val="ListParagraph"/>
        <w:numPr>
          <w:ilvl w:val="2"/>
          <w:numId w:val="14"/>
        </w:numPr>
        <w:tabs>
          <w:tab w:pos="1978" w:val="left" w:leader="none"/>
        </w:tabs>
        <w:spacing w:line="240" w:lineRule="auto" w:before="0" w:after="0"/>
        <w:ind w:left="989" w:right="1408" w:firstLine="0"/>
        <w:jc w:val="both"/>
        <w:rPr>
          <w:sz w:val="24"/>
        </w:rPr>
      </w:pPr>
      <w:r>
        <w:rPr>
          <w:sz w:val="24"/>
        </w:rPr>
        <w:t>Establish criteria which encourage development of urban infill and community redevelopment areas to promote economic development, increase housing opportunities and maximize the use of existing public facilities and</w:t>
      </w:r>
      <w:r>
        <w:rPr>
          <w:spacing w:val="-3"/>
          <w:sz w:val="24"/>
        </w:rPr>
        <w:t> </w:t>
      </w:r>
      <w:r>
        <w:rPr>
          <w:sz w:val="24"/>
        </w:rPr>
        <w:t>services.</w:t>
      </w:r>
    </w:p>
    <w:p>
      <w:pPr>
        <w:pStyle w:val="BodyText"/>
        <w:spacing w:before="3"/>
      </w:pPr>
    </w:p>
    <w:p>
      <w:pPr>
        <w:pStyle w:val="Heading3"/>
        <w:spacing w:before="1"/>
        <w:ind w:left="1709"/>
      </w:pPr>
      <w:r>
        <w:rPr/>
        <w:t>Policies</w:t>
      </w:r>
    </w:p>
    <w:p>
      <w:pPr>
        <w:pStyle w:val="ListParagraph"/>
        <w:numPr>
          <w:ilvl w:val="2"/>
          <w:numId w:val="14"/>
        </w:numPr>
        <w:tabs>
          <w:tab w:pos="2631" w:val="left" w:leader="none"/>
        </w:tabs>
        <w:spacing w:line="240" w:lineRule="auto" w:before="0" w:after="0"/>
        <w:ind w:left="1709" w:right="1408" w:firstLine="0"/>
        <w:jc w:val="both"/>
        <w:rPr>
          <w:sz w:val="24"/>
        </w:rPr>
      </w:pPr>
      <w:r>
        <w:rPr>
          <w:sz w:val="24"/>
        </w:rPr>
        <w:t>Designated Urban Infill Areas and Community Redevelopment Areas, adopted pursuant to Chapter 163, Part III, Florida Statutes shall be excepted from any applicable transportation roadway concurrency</w:t>
      </w:r>
      <w:r>
        <w:rPr>
          <w:spacing w:val="-2"/>
          <w:sz w:val="24"/>
        </w:rPr>
        <w:t> </w:t>
      </w:r>
      <w:r>
        <w:rPr>
          <w:sz w:val="24"/>
        </w:rPr>
        <w:t>requirements.</w:t>
      </w:r>
    </w:p>
    <w:sectPr>
      <w:pgSz w:w="12240" w:h="15840"/>
      <w:pgMar w:header="0" w:footer="901" w:top="1380" w:bottom="1100" w:left="460" w:right="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libri">
    <w:altName w:val="Calibri"/>
    <w:charset w:val="0"/>
    <w:family w:val="swiss"/>
    <w:pitch w:val="variable"/>
  </w:font>
  <w:font w:name="Calibri Light">
    <w:altName w:val="Calibri Light"/>
    <w:charset w:val="0"/>
    <w:family w:val="swiss"/>
    <w:pitch w:val="variable"/>
  </w:font>
  <w:font w:name="Symbol">
    <w:altName w:val="Symbol"/>
    <w:charset w:val="2"/>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470673pt;margin-top:735.929565pt;width:149.8pt;height:11.7pt;mso-position-horizontal-relative:page;mso-position-vertical-relative:page;z-index:-252596224" type="#_x0000_t202" filled="false" stroked="false">
          <v:textbox inset="0,0,0,0">
            <w:txbxContent>
              <w:p>
                <w:pPr>
                  <w:spacing w:before="18"/>
                  <w:ind w:left="20" w:right="0" w:firstLine="0"/>
                  <w:jc w:val="left"/>
                  <w:rPr>
                    <w:sz w:val="16"/>
                  </w:rPr>
                </w:pPr>
                <w:r>
                  <w:rPr>
                    <w:sz w:val="16"/>
                  </w:rPr>
                  <w:t>APPLICATION FOR REZONING- KZ Copans, LLC</w:t>
                </w:r>
              </w:p>
            </w:txbxContent>
          </v:textbox>
          <w10:wrap type="none"/>
        </v:shape>
      </w:pict>
    </w:r>
    <w:r>
      <w:rPr/>
      <w:pict>
        <v:shape style="position:absolute;margin-left:525.230591pt;margin-top:736.124817pt;width:18.350pt;height:16.650pt;mso-position-horizontal-relative:page;mso-position-vertical-relative:page;z-index:-252595200" type="#_x0000_t202" filled="false" stroked="false">
          <v:textbox inset="0,0,0,0">
            <w:txbxContent>
              <w:p>
                <w:pPr>
                  <w:pStyle w:val="BodyText"/>
                  <w:spacing w:before="20"/>
                  <w:ind w:left="60"/>
                </w:pPr>
                <w:r>
                  <w:rPr/>
                  <w:fldChar w:fldCharType="begin"/>
                </w:r>
                <w:r>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3">
    <w:multiLevelType w:val="hybridMultilevel"/>
    <w:lvl w:ilvl="0">
      <w:start w:val="1"/>
      <w:numFmt w:val="decimalZero"/>
      <w:lvlText w:val="%1"/>
      <w:lvlJc w:val="left"/>
      <w:pPr>
        <w:ind w:left="989" w:hanging="989"/>
        <w:jc w:val="left"/>
      </w:pPr>
      <w:rPr>
        <w:rFonts w:hint="default"/>
      </w:rPr>
    </w:lvl>
    <w:lvl w:ilvl="1">
      <w:start w:val="12"/>
      <w:numFmt w:val="decimal"/>
      <w:lvlText w:val="%1.%2"/>
      <w:lvlJc w:val="left"/>
      <w:pPr>
        <w:ind w:left="989" w:hanging="989"/>
        <w:jc w:val="left"/>
      </w:pPr>
      <w:rPr>
        <w:rFonts w:hint="default"/>
      </w:rPr>
    </w:lvl>
    <w:lvl w:ilvl="2">
      <w:start w:val="0"/>
      <w:numFmt w:val="decimalZero"/>
      <w:lvlText w:val="%1.%2.%3"/>
      <w:lvlJc w:val="left"/>
      <w:pPr>
        <w:ind w:left="989" w:hanging="989"/>
        <w:jc w:val="right"/>
      </w:pPr>
      <w:rPr>
        <w:rFonts w:hint="default" w:ascii="Calibri" w:hAnsi="Calibri" w:eastAsia="Calibri" w:cs="Calibri"/>
        <w:spacing w:val="-26"/>
        <w:w w:val="100"/>
        <w:sz w:val="24"/>
        <w:szCs w:val="24"/>
      </w:rPr>
    </w:lvl>
    <w:lvl w:ilvl="3">
      <w:start w:val="0"/>
      <w:numFmt w:val="bullet"/>
      <w:lvlText w:val="•"/>
      <w:lvlJc w:val="left"/>
      <w:pPr>
        <w:ind w:left="4214" w:hanging="989"/>
      </w:pPr>
      <w:rPr>
        <w:rFonts w:hint="default"/>
      </w:rPr>
    </w:lvl>
    <w:lvl w:ilvl="4">
      <w:start w:val="0"/>
      <w:numFmt w:val="bullet"/>
      <w:lvlText w:val="•"/>
      <w:lvlJc w:val="left"/>
      <w:pPr>
        <w:ind w:left="5292" w:hanging="989"/>
      </w:pPr>
      <w:rPr>
        <w:rFonts w:hint="default"/>
      </w:rPr>
    </w:lvl>
    <w:lvl w:ilvl="5">
      <w:start w:val="0"/>
      <w:numFmt w:val="bullet"/>
      <w:lvlText w:val="•"/>
      <w:lvlJc w:val="left"/>
      <w:pPr>
        <w:ind w:left="6370" w:hanging="989"/>
      </w:pPr>
      <w:rPr>
        <w:rFonts w:hint="default"/>
      </w:rPr>
    </w:lvl>
    <w:lvl w:ilvl="6">
      <w:start w:val="0"/>
      <w:numFmt w:val="bullet"/>
      <w:lvlText w:val="•"/>
      <w:lvlJc w:val="left"/>
      <w:pPr>
        <w:ind w:left="7448" w:hanging="989"/>
      </w:pPr>
      <w:rPr>
        <w:rFonts w:hint="default"/>
      </w:rPr>
    </w:lvl>
    <w:lvl w:ilvl="7">
      <w:start w:val="0"/>
      <w:numFmt w:val="bullet"/>
      <w:lvlText w:val="•"/>
      <w:lvlJc w:val="left"/>
      <w:pPr>
        <w:ind w:left="8526" w:hanging="989"/>
      </w:pPr>
      <w:rPr>
        <w:rFonts w:hint="default"/>
      </w:rPr>
    </w:lvl>
    <w:lvl w:ilvl="8">
      <w:start w:val="0"/>
      <w:numFmt w:val="bullet"/>
      <w:lvlText w:val="•"/>
      <w:lvlJc w:val="left"/>
      <w:pPr>
        <w:ind w:left="9604" w:hanging="989"/>
      </w:pPr>
      <w:rPr>
        <w:rFonts w:hint="default"/>
      </w:rPr>
    </w:lvl>
  </w:abstractNum>
  <w:abstractNum w:abstractNumId="12">
    <w:multiLevelType w:val="hybridMultilevel"/>
    <w:lvl w:ilvl="0">
      <w:start w:val="1"/>
      <w:numFmt w:val="decimalZero"/>
      <w:lvlText w:val="%1"/>
      <w:lvlJc w:val="left"/>
      <w:pPr>
        <w:ind w:left="989" w:hanging="943"/>
        <w:jc w:val="left"/>
      </w:pPr>
      <w:rPr>
        <w:rFonts w:hint="default"/>
      </w:rPr>
    </w:lvl>
    <w:lvl w:ilvl="1">
      <w:start w:val="8"/>
      <w:numFmt w:val="decimalZero"/>
      <w:lvlText w:val="%1.%2"/>
      <w:lvlJc w:val="left"/>
      <w:pPr>
        <w:ind w:left="989" w:hanging="943"/>
        <w:jc w:val="left"/>
      </w:pPr>
      <w:rPr>
        <w:rFonts w:hint="default"/>
      </w:rPr>
    </w:lvl>
    <w:lvl w:ilvl="2">
      <w:start w:val="0"/>
      <w:numFmt w:val="decimalZero"/>
      <w:lvlText w:val="%1.%2.%3"/>
      <w:lvlJc w:val="left"/>
      <w:pPr>
        <w:ind w:left="989" w:hanging="943"/>
        <w:jc w:val="right"/>
      </w:pPr>
      <w:rPr>
        <w:rFonts w:hint="default" w:ascii="Calibri" w:hAnsi="Calibri" w:eastAsia="Calibri" w:cs="Calibri"/>
        <w:spacing w:val="-18"/>
        <w:w w:val="100"/>
        <w:sz w:val="24"/>
        <w:szCs w:val="24"/>
      </w:rPr>
    </w:lvl>
    <w:lvl w:ilvl="3">
      <w:start w:val="0"/>
      <w:numFmt w:val="bullet"/>
      <w:lvlText w:val="•"/>
      <w:lvlJc w:val="left"/>
      <w:pPr>
        <w:ind w:left="4214" w:hanging="943"/>
      </w:pPr>
      <w:rPr>
        <w:rFonts w:hint="default"/>
      </w:rPr>
    </w:lvl>
    <w:lvl w:ilvl="4">
      <w:start w:val="0"/>
      <w:numFmt w:val="bullet"/>
      <w:lvlText w:val="•"/>
      <w:lvlJc w:val="left"/>
      <w:pPr>
        <w:ind w:left="5292" w:hanging="943"/>
      </w:pPr>
      <w:rPr>
        <w:rFonts w:hint="default"/>
      </w:rPr>
    </w:lvl>
    <w:lvl w:ilvl="5">
      <w:start w:val="0"/>
      <w:numFmt w:val="bullet"/>
      <w:lvlText w:val="•"/>
      <w:lvlJc w:val="left"/>
      <w:pPr>
        <w:ind w:left="6370" w:hanging="943"/>
      </w:pPr>
      <w:rPr>
        <w:rFonts w:hint="default"/>
      </w:rPr>
    </w:lvl>
    <w:lvl w:ilvl="6">
      <w:start w:val="0"/>
      <w:numFmt w:val="bullet"/>
      <w:lvlText w:val="•"/>
      <w:lvlJc w:val="left"/>
      <w:pPr>
        <w:ind w:left="7448" w:hanging="943"/>
      </w:pPr>
      <w:rPr>
        <w:rFonts w:hint="default"/>
      </w:rPr>
    </w:lvl>
    <w:lvl w:ilvl="7">
      <w:start w:val="0"/>
      <w:numFmt w:val="bullet"/>
      <w:lvlText w:val="•"/>
      <w:lvlJc w:val="left"/>
      <w:pPr>
        <w:ind w:left="8526" w:hanging="943"/>
      </w:pPr>
      <w:rPr>
        <w:rFonts w:hint="default"/>
      </w:rPr>
    </w:lvl>
    <w:lvl w:ilvl="8">
      <w:start w:val="0"/>
      <w:numFmt w:val="bullet"/>
      <w:lvlText w:val="•"/>
      <w:lvlJc w:val="left"/>
      <w:pPr>
        <w:ind w:left="9604" w:hanging="943"/>
      </w:pPr>
      <w:rPr>
        <w:rFonts w:hint="default"/>
      </w:rPr>
    </w:lvl>
  </w:abstractNum>
  <w:abstractNum w:abstractNumId="11">
    <w:multiLevelType w:val="hybridMultilevel"/>
    <w:lvl w:ilvl="0">
      <w:start w:val="0"/>
      <w:numFmt w:val="bullet"/>
      <w:lvlText w:val=""/>
      <w:lvlJc w:val="left"/>
      <w:pPr>
        <w:ind w:left="2429" w:hanging="360"/>
      </w:pPr>
      <w:rPr>
        <w:rFonts w:hint="default" w:ascii="Symbol" w:hAnsi="Symbol" w:eastAsia="Symbol" w:cs="Symbol"/>
        <w:w w:val="100"/>
        <w:sz w:val="20"/>
        <w:szCs w:val="20"/>
      </w:rPr>
    </w:lvl>
    <w:lvl w:ilvl="1">
      <w:start w:val="0"/>
      <w:numFmt w:val="bullet"/>
      <w:lvlText w:val="•"/>
      <w:lvlJc w:val="left"/>
      <w:pPr>
        <w:ind w:left="3354" w:hanging="360"/>
      </w:pPr>
      <w:rPr>
        <w:rFonts w:hint="default"/>
      </w:rPr>
    </w:lvl>
    <w:lvl w:ilvl="2">
      <w:start w:val="0"/>
      <w:numFmt w:val="bullet"/>
      <w:lvlText w:val="•"/>
      <w:lvlJc w:val="left"/>
      <w:pPr>
        <w:ind w:left="4288" w:hanging="360"/>
      </w:pPr>
      <w:rPr>
        <w:rFonts w:hint="default"/>
      </w:rPr>
    </w:lvl>
    <w:lvl w:ilvl="3">
      <w:start w:val="0"/>
      <w:numFmt w:val="bullet"/>
      <w:lvlText w:val="•"/>
      <w:lvlJc w:val="left"/>
      <w:pPr>
        <w:ind w:left="5222" w:hanging="360"/>
      </w:pPr>
      <w:rPr>
        <w:rFonts w:hint="default"/>
      </w:rPr>
    </w:lvl>
    <w:lvl w:ilvl="4">
      <w:start w:val="0"/>
      <w:numFmt w:val="bullet"/>
      <w:lvlText w:val="•"/>
      <w:lvlJc w:val="left"/>
      <w:pPr>
        <w:ind w:left="6156" w:hanging="360"/>
      </w:pPr>
      <w:rPr>
        <w:rFonts w:hint="default"/>
      </w:rPr>
    </w:lvl>
    <w:lvl w:ilvl="5">
      <w:start w:val="0"/>
      <w:numFmt w:val="bullet"/>
      <w:lvlText w:val="•"/>
      <w:lvlJc w:val="left"/>
      <w:pPr>
        <w:ind w:left="7090" w:hanging="360"/>
      </w:pPr>
      <w:rPr>
        <w:rFonts w:hint="default"/>
      </w:rPr>
    </w:lvl>
    <w:lvl w:ilvl="6">
      <w:start w:val="0"/>
      <w:numFmt w:val="bullet"/>
      <w:lvlText w:val="•"/>
      <w:lvlJc w:val="left"/>
      <w:pPr>
        <w:ind w:left="8024" w:hanging="360"/>
      </w:pPr>
      <w:rPr>
        <w:rFonts w:hint="default"/>
      </w:rPr>
    </w:lvl>
    <w:lvl w:ilvl="7">
      <w:start w:val="0"/>
      <w:numFmt w:val="bullet"/>
      <w:lvlText w:val="•"/>
      <w:lvlJc w:val="left"/>
      <w:pPr>
        <w:ind w:left="8958" w:hanging="360"/>
      </w:pPr>
      <w:rPr>
        <w:rFonts w:hint="default"/>
      </w:rPr>
    </w:lvl>
    <w:lvl w:ilvl="8">
      <w:start w:val="0"/>
      <w:numFmt w:val="bullet"/>
      <w:lvlText w:val="•"/>
      <w:lvlJc w:val="left"/>
      <w:pPr>
        <w:ind w:left="9892" w:hanging="360"/>
      </w:pPr>
      <w:rPr>
        <w:rFonts w:hint="default"/>
      </w:rPr>
    </w:lvl>
  </w:abstractNum>
  <w:abstractNum w:abstractNumId="10">
    <w:multiLevelType w:val="hybridMultilevel"/>
    <w:lvl w:ilvl="0">
      <w:start w:val="1"/>
      <w:numFmt w:val="decimal"/>
      <w:lvlText w:val="%1."/>
      <w:lvlJc w:val="left"/>
      <w:pPr>
        <w:ind w:left="1349" w:hanging="360"/>
        <w:jc w:val="left"/>
      </w:pPr>
      <w:rPr>
        <w:rFonts w:hint="default" w:ascii="Calibri" w:hAnsi="Calibri" w:eastAsia="Calibri" w:cs="Calibri"/>
        <w:spacing w:val="-27"/>
        <w:w w:val="100"/>
        <w:sz w:val="24"/>
        <w:szCs w:val="24"/>
      </w:rPr>
    </w:lvl>
    <w:lvl w:ilvl="1">
      <w:start w:val="1"/>
      <w:numFmt w:val="upperLetter"/>
      <w:lvlText w:val="%2."/>
      <w:lvlJc w:val="left"/>
      <w:pPr>
        <w:ind w:left="1709" w:hanging="360"/>
        <w:jc w:val="left"/>
      </w:pPr>
      <w:rPr>
        <w:rFonts w:hint="default" w:ascii="Calibri" w:hAnsi="Calibri" w:eastAsia="Calibri" w:cs="Calibri"/>
        <w:spacing w:val="-18"/>
        <w:w w:val="100"/>
        <w:sz w:val="24"/>
        <w:szCs w:val="24"/>
      </w:rPr>
    </w:lvl>
    <w:lvl w:ilvl="2">
      <w:start w:val="0"/>
      <w:numFmt w:val="bullet"/>
      <w:lvlText w:val="•"/>
      <w:lvlJc w:val="left"/>
      <w:pPr>
        <w:ind w:left="2817" w:hanging="360"/>
      </w:pPr>
      <w:rPr>
        <w:rFonts w:hint="default"/>
      </w:rPr>
    </w:lvl>
    <w:lvl w:ilvl="3">
      <w:start w:val="0"/>
      <w:numFmt w:val="bullet"/>
      <w:lvlText w:val="•"/>
      <w:lvlJc w:val="left"/>
      <w:pPr>
        <w:ind w:left="3935" w:hanging="360"/>
      </w:pPr>
      <w:rPr>
        <w:rFonts w:hint="default"/>
      </w:rPr>
    </w:lvl>
    <w:lvl w:ilvl="4">
      <w:start w:val="0"/>
      <w:numFmt w:val="bullet"/>
      <w:lvlText w:val="•"/>
      <w:lvlJc w:val="left"/>
      <w:pPr>
        <w:ind w:left="5053" w:hanging="360"/>
      </w:pPr>
      <w:rPr>
        <w:rFonts w:hint="default"/>
      </w:rPr>
    </w:lvl>
    <w:lvl w:ilvl="5">
      <w:start w:val="0"/>
      <w:numFmt w:val="bullet"/>
      <w:lvlText w:val="•"/>
      <w:lvlJc w:val="left"/>
      <w:pPr>
        <w:ind w:left="6171" w:hanging="360"/>
      </w:pPr>
      <w:rPr>
        <w:rFonts w:hint="default"/>
      </w:rPr>
    </w:lvl>
    <w:lvl w:ilvl="6">
      <w:start w:val="0"/>
      <w:numFmt w:val="bullet"/>
      <w:lvlText w:val="•"/>
      <w:lvlJc w:val="left"/>
      <w:pPr>
        <w:ind w:left="7288" w:hanging="360"/>
      </w:pPr>
      <w:rPr>
        <w:rFonts w:hint="default"/>
      </w:rPr>
    </w:lvl>
    <w:lvl w:ilvl="7">
      <w:start w:val="0"/>
      <w:numFmt w:val="bullet"/>
      <w:lvlText w:val="•"/>
      <w:lvlJc w:val="left"/>
      <w:pPr>
        <w:ind w:left="8406" w:hanging="360"/>
      </w:pPr>
      <w:rPr>
        <w:rFonts w:hint="default"/>
      </w:rPr>
    </w:lvl>
    <w:lvl w:ilvl="8">
      <w:start w:val="0"/>
      <w:numFmt w:val="bullet"/>
      <w:lvlText w:val="•"/>
      <w:lvlJc w:val="left"/>
      <w:pPr>
        <w:ind w:left="9524" w:hanging="360"/>
      </w:pPr>
      <w:rPr>
        <w:rFonts w:hint="default"/>
      </w:rPr>
    </w:lvl>
  </w:abstractNum>
  <w:abstractNum w:abstractNumId="9">
    <w:multiLevelType w:val="hybridMultilevel"/>
    <w:lvl w:ilvl="0">
      <w:start w:val="1"/>
      <w:numFmt w:val="decimal"/>
      <w:lvlText w:val="%1."/>
      <w:lvlJc w:val="left"/>
      <w:pPr>
        <w:ind w:left="1945" w:hanging="237"/>
        <w:jc w:val="left"/>
      </w:pPr>
      <w:rPr>
        <w:rFonts w:hint="default" w:ascii="Calibri" w:hAnsi="Calibri" w:eastAsia="Calibri" w:cs="Calibri"/>
        <w:spacing w:val="-1"/>
        <w:w w:val="100"/>
        <w:sz w:val="24"/>
        <w:szCs w:val="24"/>
      </w:rPr>
    </w:lvl>
    <w:lvl w:ilvl="1">
      <w:start w:val="1"/>
      <w:numFmt w:val="lowerLetter"/>
      <w:lvlText w:val="%2."/>
      <w:lvlJc w:val="left"/>
      <w:pPr>
        <w:ind w:left="2659" w:hanging="230"/>
        <w:jc w:val="left"/>
      </w:pPr>
      <w:rPr>
        <w:rFonts w:hint="default" w:ascii="Calibri" w:hAnsi="Calibri" w:eastAsia="Calibri" w:cs="Calibri"/>
        <w:spacing w:val="-1"/>
        <w:w w:val="100"/>
        <w:sz w:val="24"/>
        <w:szCs w:val="24"/>
      </w:rPr>
    </w:lvl>
    <w:lvl w:ilvl="2">
      <w:start w:val="0"/>
      <w:numFmt w:val="bullet"/>
      <w:lvlText w:val="•"/>
      <w:lvlJc w:val="left"/>
      <w:pPr>
        <w:ind w:left="2660" w:hanging="230"/>
      </w:pPr>
      <w:rPr>
        <w:rFonts w:hint="default"/>
      </w:rPr>
    </w:lvl>
    <w:lvl w:ilvl="3">
      <w:start w:val="0"/>
      <w:numFmt w:val="bullet"/>
      <w:lvlText w:val="•"/>
      <w:lvlJc w:val="left"/>
      <w:pPr>
        <w:ind w:left="3797" w:hanging="230"/>
      </w:pPr>
      <w:rPr>
        <w:rFonts w:hint="default"/>
      </w:rPr>
    </w:lvl>
    <w:lvl w:ilvl="4">
      <w:start w:val="0"/>
      <w:numFmt w:val="bullet"/>
      <w:lvlText w:val="•"/>
      <w:lvlJc w:val="left"/>
      <w:pPr>
        <w:ind w:left="4935" w:hanging="230"/>
      </w:pPr>
      <w:rPr>
        <w:rFonts w:hint="default"/>
      </w:rPr>
    </w:lvl>
    <w:lvl w:ilvl="5">
      <w:start w:val="0"/>
      <w:numFmt w:val="bullet"/>
      <w:lvlText w:val="•"/>
      <w:lvlJc w:val="left"/>
      <w:pPr>
        <w:ind w:left="6072" w:hanging="230"/>
      </w:pPr>
      <w:rPr>
        <w:rFonts w:hint="default"/>
      </w:rPr>
    </w:lvl>
    <w:lvl w:ilvl="6">
      <w:start w:val="0"/>
      <w:numFmt w:val="bullet"/>
      <w:lvlText w:val="•"/>
      <w:lvlJc w:val="left"/>
      <w:pPr>
        <w:ind w:left="7210" w:hanging="230"/>
      </w:pPr>
      <w:rPr>
        <w:rFonts w:hint="default"/>
      </w:rPr>
    </w:lvl>
    <w:lvl w:ilvl="7">
      <w:start w:val="0"/>
      <w:numFmt w:val="bullet"/>
      <w:lvlText w:val="•"/>
      <w:lvlJc w:val="left"/>
      <w:pPr>
        <w:ind w:left="8347" w:hanging="230"/>
      </w:pPr>
      <w:rPr>
        <w:rFonts w:hint="default"/>
      </w:rPr>
    </w:lvl>
    <w:lvl w:ilvl="8">
      <w:start w:val="0"/>
      <w:numFmt w:val="bullet"/>
      <w:lvlText w:val="•"/>
      <w:lvlJc w:val="left"/>
      <w:pPr>
        <w:ind w:left="9485" w:hanging="230"/>
      </w:pPr>
      <w:rPr>
        <w:rFonts w:hint="default"/>
      </w:rPr>
    </w:lvl>
  </w:abstractNum>
  <w:abstractNum w:abstractNumId="8">
    <w:multiLevelType w:val="hybridMultilevel"/>
    <w:lvl w:ilvl="0">
      <w:start w:val="1"/>
      <w:numFmt w:val="decimalZero"/>
      <w:lvlText w:val="%1"/>
      <w:lvlJc w:val="left"/>
      <w:pPr>
        <w:ind w:left="989" w:hanging="935"/>
        <w:jc w:val="left"/>
      </w:pPr>
      <w:rPr>
        <w:rFonts w:hint="default"/>
      </w:rPr>
    </w:lvl>
    <w:lvl w:ilvl="1">
      <w:start w:val="16"/>
      <w:numFmt w:val="decimal"/>
      <w:lvlText w:val="%1.%2"/>
      <w:lvlJc w:val="left"/>
      <w:pPr>
        <w:ind w:left="989" w:hanging="935"/>
        <w:jc w:val="left"/>
      </w:pPr>
      <w:rPr>
        <w:rFonts w:hint="default"/>
      </w:rPr>
    </w:lvl>
    <w:lvl w:ilvl="2">
      <w:start w:val="0"/>
      <w:numFmt w:val="decimalZero"/>
      <w:lvlText w:val="%1.%2.%3"/>
      <w:lvlJc w:val="left"/>
      <w:pPr>
        <w:ind w:left="989" w:hanging="935"/>
        <w:jc w:val="right"/>
      </w:pPr>
      <w:rPr>
        <w:rFonts w:hint="default" w:ascii="Calibri" w:hAnsi="Calibri" w:eastAsia="Calibri" w:cs="Calibri"/>
        <w:spacing w:val="-25"/>
        <w:w w:val="100"/>
        <w:sz w:val="24"/>
        <w:szCs w:val="24"/>
      </w:rPr>
    </w:lvl>
    <w:lvl w:ilvl="3">
      <w:start w:val="0"/>
      <w:numFmt w:val="bullet"/>
      <w:lvlText w:val="•"/>
      <w:lvlJc w:val="left"/>
      <w:pPr>
        <w:ind w:left="4214" w:hanging="935"/>
      </w:pPr>
      <w:rPr>
        <w:rFonts w:hint="default"/>
      </w:rPr>
    </w:lvl>
    <w:lvl w:ilvl="4">
      <w:start w:val="0"/>
      <w:numFmt w:val="bullet"/>
      <w:lvlText w:val="•"/>
      <w:lvlJc w:val="left"/>
      <w:pPr>
        <w:ind w:left="5292" w:hanging="935"/>
      </w:pPr>
      <w:rPr>
        <w:rFonts w:hint="default"/>
      </w:rPr>
    </w:lvl>
    <w:lvl w:ilvl="5">
      <w:start w:val="0"/>
      <w:numFmt w:val="bullet"/>
      <w:lvlText w:val="•"/>
      <w:lvlJc w:val="left"/>
      <w:pPr>
        <w:ind w:left="6370" w:hanging="935"/>
      </w:pPr>
      <w:rPr>
        <w:rFonts w:hint="default"/>
      </w:rPr>
    </w:lvl>
    <w:lvl w:ilvl="6">
      <w:start w:val="0"/>
      <w:numFmt w:val="bullet"/>
      <w:lvlText w:val="•"/>
      <w:lvlJc w:val="left"/>
      <w:pPr>
        <w:ind w:left="7448" w:hanging="935"/>
      </w:pPr>
      <w:rPr>
        <w:rFonts w:hint="default"/>
      </w:rPr>
    </w:lvl>
    <w:lvl w:ilvl="7">
      <w:start w:val="0"/>
      <w:numFmt w:val="bullet"/>
      <w:lvlText w:val="•"/>
      <w:lvlJc w:val="left"/>
      <w:pPr>
        <w:ind w:left="8526" w:hanging="935"/>
      </w:pPr>
      <w:rPr>
        <w:rFonts w:hint="default"/>
      </w:rPr>
    </w:lvl>
    <w:lvl w:ilvl="8">
      <w:start w:val="0"/>
      <w:numFmt w:val="bullet"/>
      <w:lvlText w:val="•"/>
      <w:lvlJc w:val="left"/>
      <w:pPr>
        <w:ind w:left="9604" w:hanging="935"/>
      </w:pPr>
      <w:rPr>
        <w:rFonts w:hint="default"/>
      </w:rPr>
    </w:lvl>
  </w:abstractNum>
  <w:abstractNum w:abstractNumId="7">
    <w:multiLevelType w:val="hybridMultilevel"/>
    <w:lvl w:ilvl="0">
      <w:start w:val="1"/>
      <w:numFmt w:val="decimal"/>
      <w:lvlText w:val="%1."/>
      <w:lvlJc w:val="left"/>
      <w:pPr>
        <w:ind w:left="1709" w:hanging="360"/>
        <w:jc w:val="left"/>
      </w:pPr>
      <w:rPr>
        <w:rFonts w:hint="default" w:ascii="Calibri" w:hAnsi="Calibri" w:eastAsia="Calibri" w:cs="Calibri"/>
        <w:spacing w:val="-1"/>
        <w:w w:val="100"/>
        <w:sz w:val="24"/>
        <w:szCs w:val="24"/>
      </w:rPr>
    </w:lvl>
    <w:lvl w:ilvl="1">
      <w:start w:val="0"/>
      <w:numFmt w:val="bullet"/>
      <w:lvlText w:val="•"/>
      <w:lvlJc w:val="left"/>
      <w:pPr>
        <w:ind w:left="2706" w:hanging="360"/>
      </w:pPr>
      <w:rPr>
        <w:rFonts w:hint="default"/>
      </w:rPr>
    </w:lvl>
    <w:lvl w:ilvl="2">
      <w:start w:val="0"/>
      <w:numFmt w:val="bullet"/>
      <w:lvlText w:val="•"/>
      <w:lvlJc w:val="left"/>
      <w:pPr>
        <w:ind w:left="3712" w:hanging="360"/>
      </w:pPr>
      <w:rPr>
        <w:rFonts w:hint="default"/>
      </w:rPr>
    </w:lvl>
    <w:lvl w:ilvl="3">
      <w:start w:val="0"/>
      <w:numFmt w:val="bullet"/>
      <w:lvlText w:val="•"/>
      <w:lvlJc w:val="left"/>
      <w:pPr>
        <w:ind w:left="4718" w:hanging="360"/>
      </w:pPr>
      <w:rPr>
        <w:rFonts w:hint="default"/>
      </w:rPr>
    </w:lvl>
    <w:lvl w:ilvl="4">
      <w:start w:val="0"/>
      <w:numFmt w:val="bullet"/>
      <w:lvlText w:val="•"/>
      <w:lvlJc w:val="left"/>
      <w:pPr>
        <w:ind w:left="5724" w:hanging="360"/>
      </w:pPr>
      <w:rPr>
        <w:rFonts w:hint="default"/>
      </w:rPr>
    </w:lvl>
    <w:lvl w:ilvl="5">
      <w:start w:val="0"/>
      <w:numFmt w:val="bullet"/>
      <w:lvlText w:val="•"/>
      <w:lvlJc w:val="left"/>
      <w:pPr>
        <w:ind w:left="6730" w:hanging="360"/>
      </w:pPr>
      <w:rPr>
        <w:rFonts w:hint="default"/>
      </w:rPr>
    </w:lvl>
    <w:lvl w:ilvl="6">
      <w:start w:val="0"/>
      <w:numFmt w:val="bullet"/>
      <w:lvlText w:val="•"/>
      <w:lvlJc w:val="left"/>
      <w:pPr>
        <w:ind w:left="7736" w:hanging="360"/>
      </w:pPr>
      <w:rPr>
        <w:rFonts w:hint="default"/>
      </w:rPr>
    </w:lvl>
    <w:lvl w:ilvl="7">
      <w:start w:val="0"/>
      <w:numFmt w:val="bullet"/>
      <w:lvlText w:val="•"/>
      <w:lvlJc w:val="left"/>
      <w:pPr>
        <w:ind w:left="8742" w:hanging="360"/>
      </w:pPr>
      <w:rPr>
        <w:rFonts w:hint="default"/>
      </w:rPr>
    </w:lvl>
    <w:lvl w:ilvl="8">
      <w:start w:val="0"/>
      <w:numFmt w:val="bullet"/>
      <w:lvlText w:val="•"/>
      <w:lvlJc w:val="left"/>
      <w:pPr>
        <w:ind w:left="9748" w:hanging="360"/>
      </w:pPr>
      <w:rPr>
        <w:rFonts w:hint="default"/>
      </w:rPr>
    </w:lvl>
  </w:abstractNum>
  <w:abstractNum w:abstractNumId="6">
    <w:multiLevelType w:val="hybridMultilevel"/>
    <w:lvl w:ilvl="0">
      <w:start w:val="0"/>
      <w:numFmt w:val="bullet"/>
      <w:lvlText w:val=""/>
      <w:lvlJc w:val="left"/>
      <w:pPr>
        <w:ind w:left="830" w:hanging="360"/>
      </w:pPr>
      <w:rPr>
        <w:rFonts w:hint="default" w:ascii="Symbol" w:hAnsi="Symbol" w:eastAsia="Symbol" w:cs="Symbol"/>
        <w:w w:val="100"/>
        <w:sz w:val="20"/>
        <w:szCs w:val="20"/>
      </w:rPr>
    </w:lvl>
    <w:lvl w:ilvl="1">
      <w:start w:val="0"/>
      <w:numFmt w:val="bullet"/>
      <w:lvlText w:val="•"/>
      <w:lvlJc w:val="left"/>
      <w:pPr>
        <w:ind w:left="980" w:hanging="360"/>
      </w:pPr>
      <w:rPr>
        <w:rFonts w:hint="default"/>
      </w:rPr>
    </w:lvl>
    <w:lvl w:ilvl="2">
      <w:start w:val="0"/>
      <w:numFmt w:val="bullet"/>
      <w:lvlText w:val="•"/>
      <w:lvlJc w:val="left"/>
      <w:pPr>
        <w:ind w:left="1102" w:hanging="360"/>
      </w:pPr>
      <w:rPr>
        <w:rFonts w:hint="default"/>
      </w:rPr>
    </w:lvl>
    <w:lvl w:ilvl="3">
      <w:start w:val="0"/>
      <w:numFmt w:val="bullet"/>
      <w:lvlText w:val="•"/>
      <w:lvlJc w:val="left"/>
      <w:pPr>
        <w:ind w:left="1225" w:hanging="360"/>
      </w:pPr>
      <w:rPr>
        <w:rFonts w:hint="default"/>
      </w:rPr>
    </w:lvl>
    <w:lvl w:ilvl="4">
      <w:start w:val="0"/>
      <w:numFmt w:val="bullet"/>
      <w:lvlText w:val="•"/>
      <w:lvlJc w:val="left"/>
      <w:pPr>
        <w:ind w:left="1347" w:hanging="360"/>
      </w:pPr>
      <w:rPr>
        <w:rFonts w:hint="default"/>
      </w:rPr>
    </w:lvl>
    <w:lvl w:ilvl="5">
      <w:start w:val="0"/>
      <w:numFmt w:val="bullet"/>
      <w:lvlText w:val="•"/>
      <w:lvlJc w:val="left"/>
      <w:pPr>
        <w:ind w:left="1470" w:hanging="360"/>
      </w:pPr>
      <w:rPr>
        <w:rFonts w:hint="default"/>
      </w:rPr>
    </w:lvl>
    <w:lvl w:ilvl="6">
      <w:start w:val="0"/>
      <w:numFmt w:val="bullet"/>
      <w:lvlText w:val="•"/>
      <w:lvlJc w:val="left"/>
      <w:pPr>
        <w:ind w:left="1592" w:hanging="360"/>
      </w:pPr>
      <w:rPr>
        <w:rFonts w:hint="default"/>
      </w:rPr>
    </w:lvl>
    <w:lvl w:ilvl="7">
      <w:start w:val="0"/>
      <w:numFmt w:val="bullet"/>
      <w:lvlText w:val="•"/>
      <w:lvlJc w:val="left"/>
      <w:pPr>
        <w:ind w:left="1715" w:hanging="360"/>
      </w:pPr>
      <w:rPr>
        <w:rFonts w:hint="default"/>
      </w:rPr>
    </w:lvl>
    <w:lvl w:ilvl="8">
      <w:start w:val="0"/>
      <w:numFmt w:val="bullet"/>
      <w:lvlText w:val="•"/>
      <w:lvlJc w:val="left"/>
      <w:pPr>
        <w:ind w:left="1837" w:hanging="360"/>
      </w:pPr>
      <w:rPr>
        <w:rFonts w:hint="default"/>
      </w:rPr>
    </w:lvl>
  </w:abstractNum>
  <w:abstractNum w:abstractNumId="5">
    <w:multiLevelType w:val="hybridMultilevel"/>
    <w:lvl w:ilvl="0">
      <w:start w:val="0"/>
      <w:numFmt w:val="bullet"/>
      <w:lvlText w:val=""/>
      <w:lvlJc w:val="left"/>
      <w:pPr>
        <w:ind w:left="825" w:hanging="360"/>
      </w:pPr>
      <w:rPr>
        <w:rFonts w:hint="default" w:ascii="Symbol" w:hAnsi="Symbol" w:eastAsia="Symbol" w:cs="Symbol"/>
        <w:w w:val="100"/>
        <w:sz w:val="20"/>
        <w:szCs w:val="20"/>
      </w:rPr>
    </w:lvl>
    <w:lvl w:ilvl="1">
      <w:start w:val="0"/>
      <w:numFmt w:val="bullet"/>
      <w:lvlText w:val="•"/>
      <w:lvlJc w:val="left"/>
      <w:pPr>
        <w:ind w:left="910" w:hanging="360"/>
      </w:pPr>
      <w:rPr>
        <w:rFonts w:hint="default"/>
      </w:rPr>
    </w:lvl>
    <w:lvl w:ilvl="2">
      <w:start w:val="0"/>
      <w:numFmt w:val="bullet"/>
      <w:lvlText w:val="•"/>
      <w:lvlJc w:val="left"/>
      <w:pPr>
        <w:ind w:left="1000" w:hanging="360"/>
      </w:pPr>
      <w:rPr>
        <w:rFonts w:hint="default"/>
      </w:rPr>
    </w:lvl>
    <w:lvl w:ilvl="3">
      <w:start w:val="0"/>
      <w:numFmt w:val="bullet"/>
      <w:lvlText w:val="•"/>
      <w:lvlJc w:val="left"/>
      <w:pPr>
        <w:ind w:left="1090" w:hanging="360"/>
      </w:pPr>
      <w:rPr>
        <w:rFonts w:hint="default"/>
      </w:rPr>
    </w:lvl>
    <w:lvl w:ilvl="4">
      <w:start w:val="0"/>
      <w:numFmt w:val="bullet"/>
      <w:lvlText w:val="•"/>
      <w:lvlJc w:val="left"/>
      <w:pPr>
        <w:ind w:left="1181" w:hanging="360"/>
      </w:pPr>
      <w:rPr>
        <w:rFonts w:hint="default"/>
      </w:rPr>
    </w:lvl>
    <w:lvl w:ilvl="5">
      <w:start w:val="0"/>
      <w:numFmt w:val="bullet"/>
      <w:lvlText w:val="•"/>
      <w:lvlJc w:val="left"/>
      <w:pPr>
        <w:ind w:left="1271" w:hanging="360"/>
      </w:pPr>
      <w:rPr>
        <w:rFonts w:hint="default"/>
      </w:rPr>
    </w:lvl>
    <w:lvl w:ilvl="6">
      <w:start w:val="0"/>
      <w:numFmt w:val="bullet"/>
      <w:lvlText w:val="•"/>
      <w:lvlJc w:val="left"/>
      <w:pPr>
        <w:ind w:left="1361" w:hanging="360"/>
      </w:pPr>
      <w:rPr>
        <w:rFonts w:hint="default"/>
      </w:rPr>
    </w:lvl>
    <w:lvl w:ilvl="7">
      <w:start w:val="0"/>
      <w:numFmt w:val="bullet"/>
      <w:lvlText w:val="•"/>
      <w:lvlJc w:val="left"/>
      <w:pPr>
        <w:ind w:left="1452" w:hanging="360"/>
      </w:pPr>
      <w:rPr>
        <w:rFonts w:hint="default"/>
      </w:rPr>
    </w:lvl>
    <w:lvl w:ilvl="8">
      <w:start w:val="0"/>
      <w:numFmt w:val="bullet"/>
      <w:lvlText w:val="•"/>
      <w:lvlJc w:val="left"/>
      <w:pPr>
        <w:ind w:left="1542" w:hanging="360"/>
      </w:pPr>
      <w:rPr>
        <w:rFonts w:hint="default"/>
      </w:rPr>
    </w:lvl>
  </w:abstractNum>
  <w:abstractNum w:abstractNumId="4">
    <w:multiLevelType w:val="hybridMultilevel"/>
    <w:lvl w:ilvl="0">
      <w:start w:val="0"/>
      <w:numFmt w:val="bullet"/>
      <w:lvlText w:val=""/>
      <w:lvlJc w:val="left"/>
      <w:pPr>
        <w:ind w:left="825" w:hanging="360"/>
      </w:pPr>
      <w:rPr>
        <w:rFonts w:hint="default" w:ascii="Symbol" w:hAnsi="Symbol" w:eastAsia="Symbol" w:cs="Symbol"/>
        <w:w w:val="100"/>
        <w:sz w:val="20"/>
        <w:szCs w:val="20"/>
      </w:rPr>
    </w:lvl>
    <w:lvl w:ilvl="1">
      <w:start w:val="0"/>
      <w:numFmt w:val="bullet"/>
      <w:lvlText w:val="•"/>
      <w:lvlJc w:val="left"/>
      <w:pPr>
        <w:ind w:left="946" w:hanging="360"/>
      </w:pPr>
      <w:rPr>
        <w:rFonts w:hint="default"/>
      </w:rPr>
    </w:lvl>
    <w:lvl w:ilvl="2">
      <w:start w:val="0"/>
      <w:numFmt w:val="bullet"/>
      <w:lvlText w:val="•"/>
      <w:lvlJc w:val="left"/>
      <w:pPr>
        <w:ind w:left="1072" w:hanging="360"/>
      </w:pPr>
      <w:rPr>
        <w:rFonts w:hint="default"/>
      </w:rPr>
    </w:lvl>
    <w:lvl w:ilvl="3">
      <w:start w:val="0"/>
      <w:numFmt w:val="bullet"/>
      <w:lvlText w:val="•"/>
      <w:lvlJc w:val="left"/>
      <w:pPr>
        <w:ind w:left="1198" w:hanging="360"/>
      </w:pPr>
      <w:rPr>
        <w:rFonts w:hint="default"/>
      </w:rPr>
    </w:lvl>
    <w:lvl w:ilvl="4">
      <w:start w:val="0"/>
      <w:numFmt w:val="bullet"/>
      <w:lvlText w:val="•"/>
      <w:lvlJc w:val="left"/>
      <w:pPr>
        <w:ind w:left="1325" w:hanging="360"/>
      </w:pPr>
      <w:rPr>
        <w:rFonts w:hint="default"/>
      </w:rPr>
    </w:lvl>
    <w:lvl w:ilvl="5">
      <w:start w:val="0"/>
      <w:numFmt w:val="bullet"/>
      <w:lvlText w:val="•"/>
      <w:lvlJc w:val="left"/>
      <w:pPr>
        <w:ind w:left="1451" w:hanging="360"/>
      </w:pPr>
      <w:rPr>
        <w:rFonts w:hint="default"/>
      </w:rPr>
    </w:lvl>
    <w:lvl w:ilvl="6">
      <w:start w:val="0"/>
      <w:numFmt w:val="bullet"/>
      <w:lvlText w:val="•"/>
      <w:lvlJc w:val="left"/>
      <w:pPr>
        <w:ind w:left="1577" w:hanging="360"/>
      </w:pPr>
      <w:rPr>
        <w:rFonts w:hint="default"/>
      </w:rPr>
    </w:lvl>
    <w:lvl w:ilvl="7">
      <w:start w:val="0"/>
      <w:numFmt w:val="bullet"/>
      <w:lvlText w:val="•"/>
      <w:lvlJc w:val="left"/>
      <w:pPr>
        <w:ind w:left="1704" w:hanging="360"/>
      </w:pPr>
      <w:rPr>
        <w:rFonts w:hint="default"/>
      </w:rPr>
    </w:lvl>
    <w:lvl w:ilvl="8">
      <w:start w:val="0"/>
      <w:numFmt w:val="bullet"/>
      <w:lvlText w:val="•"/>
      <w:lvlJc w:val="left"/>
      <w:pPr>
        <w:ind w:left="1830" w:hanging="360"/>
      </w:pPr>
      <w:rPr>
        <w:rFonts w:hint="default"/>
      </w:rPr>
    </w:lvl>
  </w:abstractNum>
  <w:abstractNum w:abstractNumId="3">
    <w:multiLevelType w:val="hybridMultilevel"/>
    <w:lvl w:ilvl="0">
      <w:start w:val="0"/>
      <w:numFmt w:val="bullet"/>
      <w:lvlText w:val=""/>
      <w:lvlJc w:val="left"/>
      <w:pPr>
        <w:ind w:left="826" w:hanging="360"/>
      </w:pPr>
      <w:rPr>
        <w:rFonts w:hint="default" w:ascii="Symbol" w:hAnsi="Symbol" w:eastAsia="Symbol" w:cs="Symbol"/>
        <w:w w:val="100"/>
        <w:sz w:val="20"/>
        <w:szCs w:val="20"/>
      </w:rPr>
    </w:lvl>
    <w:lvl w:ilvl="1">
      <w:start w:val="0"/>
      <w:numFmt w:val="bullet"/>
      <w:lvlText w:val="•"/>
      <w:lvlJc w:val="left"/>
      <w:pPr>
        <w:ind w:left="946" w:hanging="360"/>
      </w:pPr>
      <w:rPr>
        <w:rFonts w:hint="default"/>
      </w:rPr>
    </w:lvl>
    <w:lvl w:ilvl="2">
      <w:start w:val="0"/>
      <w:numFmt w:val="bullet"/>
      <w:lvlText w:val="•"/>
      <w:lvlJc w:val="left"/>
      <w:pPr>
        <w:ind w:left="1072" w:hanging="360"/>
      </w:pPr>
      <w:rPr>
        <w:rFonts w:hint="default"/>
      </w:rPr>
    </w:lvl>
    <w:lvl w:ilvl="3">
      <w:start w:val="0"/>
      <w:numFmt w:val="bullet"/>
      <w:lvlText w:val="•"/>
      <w:lvlJc w:val="left"/>
      <w:pPr>
        <w:ind w:left="1198" w:hanging="360"/>
      </w:pPr>
      <w:rPr>
        <w:rFonts w:hint="default"/>
      </w:rPr>
    </w:lvl>
    <w:lvl w:ilvl="4">
      <w:start w:val="0"/>
      <w:numFmt w:val="bullet"/>
      <w:lvlText w:val="•"/>
      <w:lvlJc w:val="left"/>
      <w:pPr>
        <w:ind w:left="1325" w:hanging="360"/>
      </w:pPr>
      <w:rPr>
        <w:rFonts w:hint="default"/>
      </w:rPr>
    </w:lvl>
    <w:lvl w:ilvl="5">
      <w:start w:val="0"/>
      <w:numFmt w:val="bullet"/>
      <w:lvlText w:val="•"/>
      <w:lvlJc w:val="left"/>
      <w:pPr>
        <w:ind w:left="1451" w:hanging="360"/>
      </w:pPr>
      <w:rPr>
        <w:rFonts w:hint="default"/>
      </w:rPr>
    </w:lvl>
    <w:lvl w:ilvl="6">
      <w:start w:val="0"/>
      <w:numFmt w:val="bullet"/>
      <w:lvlText w:val="•"/>
      <w:lvlJc w:val="left"/>
      <w:pPr>
        <w:ind w:left="1577" w:hanging="360"/>
      </w:pPr>
      <w:rPr>
        <w:rFonts w:hint="default"/>
      </w:rPr>
    </w:lvl>
    <w:lvl w:ilvl="7">
      <w:start w:val="0"/>
      <w:numFmt w:val="bullet"/>
      <w:lvlText w:val="•"/>
      <w:lvlJc w:val="left"/>
      <w:pPr>
        <w:ind w:left="1704" w:hanging="360"/>
      </w:pPr>
      <w:rPr>
        <w:rFonts w:hint="default"/>
      </w:rPr>
    </w:lvl>
    <w:lvl w:ilvl="8">
      <w:start w:val="0"/>
      <w:numFmt w:val="bullet"/>
      <w:lvlText w:val="•"/>
      <w:lvlJc w:val="left"/>
      <w:pPr>
        <w:ind w:left="1830" w:hanging="360"/>
      </w:pPr>
      <w:rPr>
        <w:rFonts w:hint="default"/>
      </w:rPr>
    </w:lvl>
  </w:abstractNum>
  <w:abstractNum w:abstractNumId="2">
    <w:multiLevelType w:val="hybridMultilevel"/>
    <w:lvl w:ilvl="0">
      <w:start w:val="1"/>
      <w:numFmt w:val="decimal"/>
      <w:lvlText w:val="%1."/>
      <w:lvlJc w:val="left"/>
      <w:pPr>
        <w:ind w:left="1709" w:hanging="360"/>
        <w:jc w:val="left"/>
      </w:pPr>
      <w:rPr>
        <w:rFonts w:hint="default" w:ascii="Calibri" w:hAnsi="Calibri" w:eastAsia="Calibri" w:cs="Calibri"/>
        <w:spacing w:val="-1"/>
        <w:w w:val="100"/>
        <w:sz w:val="24"/>
        <w:szCs w:val="24"/>
      </w:rPr>
    </w:lvl>
    <w:lvl w:ilvl="1">
      <w:start w:val="0"/>
      <w:numFmt w:val="bullet"/>
      <w:lvlText w:val="•"/>
      <w:lvlJc w:val="left"/>
      <w:pPr>
        <w:ind w:left="2706" w:hanging="360"/>
      </w:pPr>
      <w:rPr>
        <w:rFonts w:hint="default"/>
      </w:rPr>
    </w:lvl>
    <w:lvl w:ilvl="2">
      <w:start w:val="0"/>
      <w:numFmt w:val="bullet"/>
      <w:lvlText w:val="•"/>
      <w:lvlJc w:val="left"/>
      <w:pPr>
        <w:ind w:left="3712" w:hanging="360"/>
      </w:pPr>
      <w:rPr>
        <w:rFonts w:hint="default"/>
      </w:rPr>
    </w:lvl>
    <w:lvl w:ilvl="3">
      <w:start w:val="0"/>
      <w:numFmt w:val="bullet"/>
      <w:lvlText w:val="•"/>
      <w:lvlJc w:val="left"/>
      <w:pPr>
        <w:ind w:left="4718" w:hanging="360"/>
      </w:pPr>
      <w:rPr>
        <w:rFonts w:hint="default"/>
      </w:rPr>
    </w:lvl>
    <w:lvl w:ilvl="4">
      <w:start w:val="0"/>
      <w:numFmt w:val="bullet"/>
      <w:lvlText w:val="•"/>
      <w:lvlJc w:val="left"/>
      <w:pPr>
        <w:ind w:left="5724" w:hanging="360"/>
      </w:pPr>
      <w:rPr>
        <w:rFonts w:hint="default"/>
      </w:rPr>
    </w:lvl>
    <w:lvl w:ilvl="5">
      <w:start w:val="0"/>
      <w:numFmt w:val="bullet"/>
      <w:lvlText w:val="•"/>
      <w:lvlJc w:val="left"/>
      <w:pPr>
        <w:ind w:left="6730" w:hanging="360"/>
      </w:pPr>
      <w:rPr>
        <w:rFonts w:hint="default"/>
      </w:rPr>
    </w:lvl>
    <w:lvl w:ilvl="6">
      <w:start w:val="0"/>
      <w:numFmt w:val="bullet"/>
      <w:lvlText w:val="•"/>
      <w:lvlJc w:val="left"/>
      <w:pPr>
        <w:ind w:left="7736" w:hanging="360"/>
      </w:pPr>
      <w:rPr>
        <w:rFonts w:hint="default"/>
      </w:rPr>
    </w:lvl>
    <w:lvl w:ilvl="7">
      <w:start w:val="0"/>
      <w:numFmt w:val="bullet"/>
      <w:lvlText w:val="•"/>
      <w:lvlJc w:val="left"/>
      <w:pPr>
        <w:ind w:left="8742" w:hanging="360"/>
      </w:pPr>
      <w:rPr>
        <w:rFonts w:hint="default"/>
      </w:rPr>
    </w:lvl>
    <w:lvl w:ilvl="8">
      <w:start w:val="0"/>
      <w:numFmt w:val="bullet"/>
      <w:lvlText w:val="•"/>
      <w:lvlJc w:val="left"/>
      <w:pPr>
        <w:ind w:left="9748" w:hanging="360"/>
      </w:pPr>
      <w:rPr>
        <w:rFonts w:hint="default"/>
      </w:rPr>
    </w:lvl>
  </w:abstractNum>
  <w:abstractNum w:abstractNumId="1">
    <w:multiLevelType w:val="hybridMultilevel"/>
    <w:lvl w:ilvl="0">
      <w:start w:val="1"/>
      <w:numFmt w:val="decimal"/>
      <w:lvlText w:val="%1."/>
      <w:lvlJc w:val="left"/>
      <w:pPr>
        <w:ind w:left="1709" w:hanging="360"/>
        <w:jc w:val="left"/>
      </w:pPr>
      <w:rPr>
        <w:rFonts w:hint="default" w:ascii="Times New Roman" w:hAnsi="Times New Roman" w:eastAsia="Times New Roman" w:cs="Times New Roman"/>
        <w:spacing w:val="-5"/>
        <w:w w:val="100"/>
        <w:sz w:val="24"/>
        <w:szCs w:val="24"/>
      </w:rPr>
    </w:lvl>
    <w:lvl w:ilvl="1">
      <w:start w:val="1"/>
      <w:numFmt w:val="lowerLetter"/>
      <w:lvlText w:val="%2."/>
      <w:lvlJc w:val="left"/>
      <w:pPr>
        <w:ind w:left="2429" w:hanging="360"/>
        <w:jc w:val="left"/>
      </w:pPr>
      <w:rPr>
        <w:rFonts w:hint="default" w:ascii="Calibri" w:hAnsi="Calibri" w:eastAsia="Calibri" w:cs="Calibri"/>
        <w:spacing w:val="-1"/>
        <w:w w:val="100"/>
        <w:sz w:val="24"/>
        <w:szCs w:val="24"/>
      </w:rPr>
    </w:lvl>
    <w:lvl w:ilvl="2">
      <w:start w:val="0"/>
      <w:numFmt w:val="bullet"/>
      <w:lvlText w:val="•"/>
      <w:lvlJc w:val="left"/>
      <w:pPr>
        <w:ind w:left="3457" w:hanging="360"/>
      </w:pPr>
      <w:rPr>
        <w:rFonts w:hint="default"/>
      </w:rPr>
    </w:lvl>
    <w:lvl w:ilvl="3">
      <w:start w:val="0"/>
      <w:numFmt w:val="bullet"/>
      <w:lvlText w:val="•"/>
      <w:lvlJc w:val="left"/>
      <w:pPr>
        <w:ind w:left="4495" w:hanging="360"/>
      </w:pPr>
      <w:rPr>
        <w:rFonts w:hint="default"/>
      </w:rPr>
    </w:lvl>
    <w:lvl w:ilvl="4">
      <w:start w:val="0"/>
      <w:numFmt w:val="bullet"/>
      <w:lvlText w:val="•"/>
      <w:lvlJc w:val="left"/>
      <w:pPr>
        <w:ind w:left="5533" w:hanging="360"/>
      </w:pPr>
      <w:rPr>
        <w:rFonts w:hint="default"/>
      </w:rPr>
    </w:lvl>
    <w:lvl w:ilvl="5">
      <w:start w:val="0"/>
      <w:numFmt w:val="bullet"/>
      <w:lvlText w:val="•"/>
      <w:lvlJc w:val="left"/>
      <w:pPr>
        <w:ind w:left="6571" w:hanging="360"/>
      </w:pPr>
      <w:rPr>
        <w:rFonts w:hint="default"/>
      </w:rPr>
    </w:lvl>
    <w:lvl w:ilvl="6">
      <w:start w:val="0"/>
      <w:numFmt w:val="bullet"/>
      <w:lvlText w:val="•"/>
      <w:lvlJc w:val="left"/>
      <w:pPr>
        <w:ind w:left="7608" w:hanging="360"/>
      </w:pPr>
      <w:rPr>
        <w:rFonts w:hint="default"/>
      </w:rPr>
    </w:lvl>
    <w:lvl w:ilvl="7">
      <w:start w:val="0"/>
      <w:numFmt w:val="bullet"/>
      <w:lvlText w:val="•"/>
      <w:lvlJc w:val="left"/>
      <w:pPr>
        <w:ind w:left="8646" w:hanging="360"/>
      </w:pPr>
      <w:rPr>
        <w:rFonts w:hint="default"/>
      </w:rPr>
    </w:lvl>
    <w:lvl w:ilvl="8">
      <w:start w:val="0"/>
      <w:numFmt w:val="bullet"/>
      <w:lvlText w:val="•"/>
      <w:lvlJc w:val="left"/>
      <w:pPr>
        <w:ind w:left="9684" w:hanging="360"/>
      </w:pPr>
      <w:rPr>
        <w:rFonts w:hint="default"/>
      </w:rPr>
    </w:lvl>
  </w:abstractNum>
  <w:abstractNum w:abstractNumId="0">
    <w:multiLevelType w:val="hybridMultilevel"/>
    <w:lvl w:ilvl="0">
      <w:start w:val="1"/>
      <w:numFmt w:val="decimal"/>
      <w:lvlText w:val="%1."/>
      <w:lvlJc w:val="left"/>
      <w:pPr>
        <w:ind w:left="1709" w:hanging="360"/>
        <w:jc w:val="left"/>
      </w:pPr>
      <w:rPr>
        <w:rFonts w:hint="default"/>
        <w:spacing w:val="-1"/>
        <w:w w:val="100"/>
      </w:rPr>
    </w:lvl>
    <w:lvl w:ilvl="1">
      <w:start w:val="0"/>
      <w:numFmt w:val="bullet"/>
      <w:lvlText w:val="•"/>
      <w:lvlJc w:val="left"/>
      <w:pPr>
        <w:ind w:left="2706" w:hanging="360"/>
      </w:pPr>
      <w:rPr>
        <w:rFonts w:hint="default"/>
      </w:rPr>
    </w:lvl>
    <w:lvl w:ilvl="2">
      <w:start w:val="0"/>
      <w:numFmt w:val="bullet"/>
      <w:lvlText w:val="•"/>
      <w:lvlJc w:val="left"/>
      <w:pPr>
        <w:ind w:left="3712" w:hanging="360"/>
      </w:pPr>
      <w:rPr>
        <w:rFonts w:hint="default"/>
      </w:rPr>
    </w:lvl>
    <w:lvl w:ilvl="3">
      <w:start w:val="0"/>
      <w:numFmt w:val="bullet"/>
      <w:lvlText w:val="•"/>
      <w:lvlJc w:val="left"/>
      <w:pPr>
        <w:ind w:left="4718" w:hanging="360"/>
      </w:pPr>
      <w:rPr>
        <w:rFonts w:hint="default"/>
      </w:rPr>
    </w:lvl>
    <w:lvl w:ilvl="4">
      <w:start w:val="0"/>
      <w:numFmt w:val="bullet"/>
      <w:lvlText w:val="•"/>
      <w:lvlJc w:val="left"/>
      <w:pPr>
        <w:ind w:left="5724" w:hanging="360"/>
      </w:pPr>
      <w:rPr>
        <w:rFonts w:hint="default"/>
      </w:rPr>
    </w:lvl>
    <w:lvl w:ilvl="5">
      <w:start w:val="0"/>
      <w:numFmt w:val="bullet"/>
      <w:lvlText w:val="•"/>
      <w:lvlJc w:val="left"/>
      <w:pPr>
        <w:ind w:left="6730" w:hanging="360"/>
      </w:pPr>
      <w:rPr>
        <w:rFonts w:hint="default"/>
      </w:rPr>
    </w:lvl>
    <w:lvl w:ilvl="6">
      <w:start w:val="0"/>
      <w:numFmt w:val="bullet"/>
      <w:lvlText w:val="•"/>
      <w:lvlJc w:val="left"/>
      <w:pPr>
        <w:ind w:left="7736" w:hanging="360"/>
      </w:pPr>
      <w:rPr>
        <w:rFonts w:hint="default"/>
      </w:rPr>
    </w:lvl>
    <w:lvl w:ilvl="7">
      <w:start w:val="0"/>
      <w:numFmt w:val="bullet"/>
      <w:lvlText w:val="•"/>
      <w:lvlJc w:val="left"/>
      <w:pPr>
        <w:ind w:left="8742" w:hanging="360"/>
      </w:pPr>
      <w:rPr>
        <w:rFonts w:hint="default"/>
      </w:rPr>
    </w:lvl>
    <w:lvl w:ilvl="8">
      <w:start w:val="0"/>
      <w:numFmt w:val="bullet"/>
      <w:lvlText w:val="•"/>
      <w:lvlJc w:val="left"/>
      <w:pPr>
        <w:ind w:left="9748" w:hanging="360"/>
      </w:pPr>
      <w:rPr>
        <w:rFonts w:hint="default"/>
      </w:rPr>
    </w:lvl>
  </w:abstract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alibri" w:hAnsi="Calibri" w:eastAsia="Calibri" w:cs="Calibri"/>
    </w:rPr>
  </w:style>
  <w:style w:styleId="TOC1" w:type="paragraph">
    <w:name w:val="TOC 1"/>
    <w:basedOn w:val="Normal"/>
    <w:uiPriority w:val="1"/>
    <w:qFormat/>
    <w:pPr>
      <w:spacing w:before="121"/>
      <w:ind w:left="989"/>
    </w:pPr>
    <w:rPr>
      <w:rFonts w:ascii="Calibri" w:hAnsi="Calibri" w:eastAsia="Calibri" w:cs="Calibri"/>
      <w:b/>
      <w:bCs/>
      <w:i/>
      <w:sz w:val="24"/>
      <w:szCs w:val="24"/>
    </w:rPr>
  </w:style>
  <w:style w:styleId="TOC2" w:type="paragraph">
    <w:name w:val="TOC 2"/>
    <w:basedOn w:val="Normal"/>
    <w:uiPriority w:val="1"/>
    <w:qFormat/>
    <w:pPr>
      <w:spacing w:before="120"/>
      <w:ind w:left="1229"/>
    </w:pPr>
    <w:rPr>
      <w:rFonts w:ascii="Calibri" w:hAnsi="Calibri" w:eastAsia="Calibri" w:cs="Calibri"/>
      <w:b/>
      <w:bCs/>
      <w:sz w:val="22"/>
      <w:szCs w:val="22"/>
    </w:rPr>
  </w:style>
  <w:style w:styleId="BodyText" w:type="paragraph">
    <w:name w:val="Body Text"/>
    <w:basedOn w:val="Normal"/>
    <w:uiPriority w:val="1"/>
    <w:qFormat/>
    <w:pPr/>
    <w:rPr>
      <w:rFonts w:ascii="Calibri" w:hAnsi="Calibri" w:eastAsia="Calibri" w:cs="Calibri"/>
      <w:sz w:val="24"/>
      <w:szCs w:val="24"/>
    </w:rPr>
  </w:style>
  <w:style w:styleId="Heading1" w:type="paragraph">
    <w:name w:val="Heading 1"/>
    <w:basedOn w:val="Normal"/>
    <w:uiPriority w:val="1"/>
    <w:qFormat/>
    <w:pPr>
      <w:spacing w:before="87"/>
      <w:ind w:left="815"/>
      <w:outlineLvl w:val="1"/>
    </w:pPr>
    <w:rPr>
      <w:rFonts w:ascii="Calibri Light" w:hAnsi="Calibri Light" w:eastAsia="Calibri Light" w:cs="Calibri Light"/>
      <w:sz w:val="32"/>
      <w:szCs w:val="32"/>
    </w:rPr>
  </w:style>
  <w:style w:styleId="Heading2" w:type="paragraph">
    <w:name w:val="Heading 2"/>
    <w:basedOn w:val="Normal"/>
    <w:uiPriority w:val="1"/>
    <w:qFormat/>
    <w:pPr>
      <w:ind w:left="815"/>
      <w:outlineLvl w:val="2"/>
    </w:pPr>
    <w:rPr>
      <w:rFonts w:ascii="Calibri Light" w:hAnsi="Calibri Light" w:eastAsia="Calibri Light" w:cs="Calibri Light"/>
      <w:sz w:val="26"/>
      <w:szCs w:val="26"/>
    </w:rPr>
  </w:style>
  <w:style w:styleId="Heading3" w:type="paragraph">
    <w:name w:val="Heading 3"/>
    <w:basedOn w:val="Normal"/>
    <w:uiPriority w:val="1"/>
    <w:qFormat/>
    <w:pPr>
      <w:ind w:left="989"/>
      <w:outlineLvl w:val="3"/>
    </w:pPr>
    <w:rPr>
      <w:rFonts w:ascii="Calibri" w:hAnsi="Calibri" w:eastAsia="Calibri" w:cs="Calibri"/>
      <w:b/>
      <w:bCs/>
      <w:sz w:val="24"/>
      <w:szCs w:val="24"/>
    </w:rPr>
  </w:style>
  <w:style w:styleId="Heading4" w:type="paragraph">
    <w:name w:val="Heading 4"/>
    <w:basedOn w:val="Normal"/>
    <w:uiPriority w:val="1"/>
    <w:qFormat/>
    <w:pPr>
      <w:spacing w:before="277"/>
      <w:ind w:left="815" w:right="1180"/>
      <w:jc w:val="center"/>
      <w:outlineLvl w:val="4"/>
    </w:pPr>
    <w:rPr>
      <w:rFonts w:ascii="Calibri" w:hAnsi="Calibri" w:eastAsia="Calibri" w:cs="Calibri"/>
      <w:b/>
      <w:bCs/>
      <w:i/>
      <w:sz w:val="24"/>
      <w:szCs w:val="24"/>
    </w:rPr>
  </w:style>
  <w:style w:styleId="ListParagraph" w:type="paragraph">
    <w:name w:val="List Paragraph"/>
    <w:basedOn w:val="Normal"/>
    <w:uiPriority w:val="1"/>
    <w:qFormat/>
    <w:pPr>
      <w:ind w:left="1709" w:right="1407" w:hanging="360"/>
      <w:jc w:val="both"/>
    </w:pPr>
    <w:rPr>
      <w:rFonts w:ascii="Calibri" w:hAnsi="Calibri" w:eastAsia="Calibri" w:cs="Calibri"/>
    </w:rPr>
  </w:style>
  <w:style w:styleId="TableParagraph" w:type="paragraph">
    <w:name w:val="Table Paragraph"/>
    <w:basedOn w:val="Normal"/>
    <w:uiPriority w:val="1"/>
    <w:qFormat/>
    <w:pPr>
      <w:ind w:left="105"/>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yperlink" Target="mailto:hdavis@gunster.com" TargetMode="External"/><Relationship Id="rId7" Type="http://schemas.openxmlformats.org/officeDocument/2006/relationships/hyperlink" Target="mailto:Maggie.Barszewski@copbfl.com" TargetMode="External"/><Relationship Id="rId8" Type="http://schemas.openxmlformats.org/officeDocument/2006/relationships/image" Target="media/image2.png"/><Relationship Id="rId9" Type="http://schemas.openxmlformats.org/officeDocument/2006/relationships/image" Target="media/image3.jpe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footer" Target="footer1.xml"/><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image" Target="media/image11.jpeg"/><Relationship Id="rId19" Type="http://schemas.openxmlformats.org/officeDocument/2006/relationships/image" Target="media/image12.jpeg"/><Relationship Id="rId20" Type="http://schemas.openxmlformats.org/officeDocument/2006/relationships/image" Target="media/image13.jpe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jpe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2021-08-12T17:40:54Z</dcterms:created>
  <dcterms:modified xsi:type="dcterms:W3CDTF">2021-08-12T17:40:54Z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2021-06-28T00:00:00Z</vt:filetime>
  </property>
  <property fmtid="{D5CDD505-2E9C-101B-9397-08002B2CF9AE}" pid="3" name="Creator">
    <vt:lpwstr>Adobe Acrobat Pro 2017 17.11.30197</vt:lpwstr>
  </property>
  <property fmtid="{D5CDD505-2E9C-101B-9397-08002B2CF9AE}" pid="4" name="LastSaved">
    <vt:filetime>2021-08-12T00:00:00Z</vt:filetime>
  </property>
</Properties>
</file>